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5C2186"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63A052B7"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3C096C17"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096F2090"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0740DA74" w14:textId="77777777" w:rsidR="00F66B89" w:rsidRDefault="00F66B89" w:rsidP="00F66B89">
      <w:pPr>
        <w:spacing w:after="0" w:line="480" w:lineRule="auto"/>
        <w:jc w:val="center"/>
        <w:rPr>
          <w:rFonts w:ascii="Times New Roman" w:eastAsia="Times New Roman" w:hAnsi="Times New Roman" w:cs="Times New Roman"/>
          <w:b/>
          <w:bCs/>
          <w:kern w:val="0"/>
          <w:sz w:val="24"/>
          <w:szCs w:val="24"/>
          <w14:ligatures w14:val="none"/>
        </w:rPr>
      </w:pPr>
    </w:p>
    <w:p w14:paraId="5E095913" w14:textId="0B957006" w:rsidR="00F66B89" w:rsidRPr="00526EA7" w:rsidRDefault="00F66B89" w:rsidP="00F66B89">
      <w:pPr>
        <w:pStyle w:val="NormalWeb"/>
        <w:spacing w:line="480" w:lineRule="auto"/>
        <w:jc w:val="center"/>
        <w:rPr>
          <w:b/>
          <w:bCs/>
        </w:rPr>
      </w:pPr>
      <w:r w:rsidRPr="00F66B89">
        <w:rPr>
          <w:b/>
          <w:bCs/>
        </w:rPr>
        <w:t>Legislative Tracing and Policy Analysis</w:t>
      </w:r>
      <w:r>
        <w:rPr>
          <w:b/>
          <w:bCs/>
        </w:rPr>
        <w:t>: The Computer Fraud and Abuse Act</w:t>
      </w:r>
    </w:p>
    <w:p w14:paraId="27AB0BF0" w14:textId="77777777" w:rsidR="00F66B89" w:rsidRDefault="00F66B89" w:rsidP="00F66B89">
      <w:pPr>
        <w:pStyle w:val="NormalWeb"/>
        <w:spacing w:line="480" w:lineRule="auto"/>
        <w:jc w:val="center"/>
      </w:pPr>
    </w:p>
    <w:p w14:paraId="67F5CE73" w14:textId="77777777" w:rsidR="00F66B89" w:rsidRDefault="00F66B89" w:rsidP="00F66B89">
      <w:pPr>
        <w:pStyle w:val="NormalWeb"/>
        <w:spacing w:line="480" w:lineRule="auto"/>
        <w:jc w:val="center"/>
      </w:pPr>
      <w:r>
        <w:t>Alina N. Hagen</w:t>
      </w:r>
    </w:p>
    <w:p w14:paraId="5BFE10EE" w14:textId="77777777" w:rsidR="00F66B89" w:rsidRDefault="00F66B89" w:rsidP="00F66B89">
      <w:pPr>
        <w:pStyle w:val="NormalWeb"/>
        <w:spacing w:line="480" w:lineRule="auto"/>
        <w:jc w:val="center"/>
      </w:pPr>
      <w:r>
        <w:t>School of Information, University of South Florida</w:t>
      </w:r>
    </w:p>
    <w:p w14:paraId="3CDC5DAB" w14:textId="77777777" w:rsidR="00F66B89" w:rsidRDefault="00F66B89" w:rsidP="00F66B89">
      <w:pPr>
        <w:pStyle w:val="NormalWeb"/>
        <w:spacing w:line="480" w:lineRule="auto"/>
        <w:jc w:val="center"/>
      </w:pPr>
      <w:r>
        <w:t>LIS 4414: Information Policy and Ethics</w:t>
      </w:r>
    </w:p>
    <w:p w14:paraId="6D022F7A" w14:textId="77777777" w:rsidR="00F66B89" w:rsidRDefault="00F66B89" w:rsidP="00F66B89">
      <w:pPr>
        <w:pStyle w:val="NormalWeb"/>
        <w:spacing w:line="480" w:lineRule="auto"/>
        <w:jc w:val="center"/>
      </w:pPr>
      <w:r>
        <w:t xml:space="preserve">Dr. John </w:t>
      </w:r>
      <w:proofErr w:type="spellStart"/>
      <w:r>
        <w:t>Gathegi</w:t>
      </w:r>
      <w:proofErr w:type="spellEnd"/>
    </w:p>
    <w:p w14:paraId="07E44AAB" w14:textId="7027D3BD" w:rsidR="00F66B89" w:rsidRDefault="00F66B89" w:rsidP="00F66B89">
      <w:pPr>
        <w:pStyle w:val="NormalWeb"/>
        <w:spacing w:line="480" w:lineRule="auto"/>
        <w:jc w:val="center"/>
      </w:pPr>
      <w:r>
        <w:t xml:space="preserve">June </w:t>
      </w:r>
      <w:r w:rsidR="000226F7">
        <w:t>24</w:t>
      </w:r>
      <w:r>
        <w:t>, 2024</w:t>
      </w:r>
    </w:p>
    <w:p w14:paraId="6991477A"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33AA7B65"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49F0C508"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5153655E"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395BA8C6"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550913DC"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6BF622C5" w14:textId="77777777" w:rsidR="00F66B89" w:rsidRDefault="00F66B89" w:rsidP="000712C6">
      <w:pPr>
        <w:pStyle w:val="NormalWeb"/>
        <w:spacing w:before="0" w:beforeAutospacing="0" w:after="0" w:afterAutospacing="0" w:line="480" w:lineRule="auto"/>
        <w:jc w:val="center"/>
        <w:rPr>
          <w:rStyle w:val="Strong"/>
          <w:rFonts w:eastAsiaTheme="majorEastAsia"/>
        </w:rPr>
      </w:pPr>
    </w:p>
    <w:p w14:paraId="757FCC1D" w14:textId="584BB89C" w:rsidR="00292E06" w:rsidRPr="000712C6" w:rsidRDefault="00292E06" w:rsidP="000712C6">
      <w:pPr>
        <w:pStyle w:val="NormalWeb"/>
        <w:spacing w:before="0" w:beforeAutospacing="0" w:after="0" w:afterAutospacing="0" w:line="480" w:lineRule="auto"/>
        <w:jc w:val="center"/>
      </w:pPr>
      <w:r w:rsidRPr="000712C6">
        <w:rPr>
          <w:rStyle w:val="Strong"/>
          <w:rFonts w:eastAsiaTheme="majorEastAsia"/>
        </w:rPr>
        <w:lastRenderedPageBreak/>
        <w:t>Introduction:</w:t>
      </w:r>
    </w:p>
    <w:p w14:paraId="38974D65" w14:textId="04982819" w:rsidR="00EC0D8B" w:rsidRPr="000712C6" w:rsidRDefault="00292E06" w:rsidP="000712C6">
      <w:pPr>
        <w:pStyle w:val="NormalWeb"/>
        <w:spacing w:before="0" w:beforeAutospacing="0" w:after="0" w:afterAutospacing="0" w:line="480" w:lineRule="auto"/>
        <w:ind w:firstLine="720"/>
      </w:pPr>
      <w:r w:rsidRPr="000712C6">
        <w:t xml:space="preserve">In 1983, technological vocabulary and U.S. information policy was </w:t>
      </w:r>
      <w:r w:rsidR="00B548DA">
        <w:t>significantly</w:t>
      </w:r>
      <w:r w:rsidRPr="000712C6">
        <w:t xml:space="preserve"> changed by the release of the action movie "WarGames." The film's dramatic storyline, featuring a young man who inadvertently hacks into a military computer and </w:t>
      </w:r>
      <w:r w:rsidRPr="000712C6">
        <w:t>starts</w:t>
      </w:r>
      <w:r w:rsidRPr="000712C6">
        <w:t xml:space="preserve"> World War III</w:t>
      </w:r>
      <w:r w:rsidR="00B548DA">
        <w:t>,</w:t>
      </w:r>
      <w:r w:rsidRPr="000712C6">
        <w:t xml:space="preserve"> reshaped society's understanding of the term "hacker</w:t>
      </w:r>
      <w:r w:rsidR="000712C6">
        <w:t>” a</w:t>
      </w:r>
      <w:r w:rsidR="00EC0D8B" w:rsidRPr="000712C6">
        <w:t xml:space="preserve">nd </w:t>
      </w:r>
      <w:r w:rsidRPr="000712C6">
        <w:t>alarmed U.S. policymakers</w:t>
      </w:r>
      <w:r w:rsidR="00B548DA">
        <w:t xml:space="preserve"> </w:t>
      </w:r>
      <w:r w:rsidR="00B548DA" w:rsidRPr="000712C6">
        <w:t>(Quinn, 2020, ch. 7.2)</w:t>
      </w:r>
      <w:r w:rsidR="00B548DA">
        <w:t>.</w:t>
      </w:r>
      <w:r w:rsidR="00EC0D8B" w:rsidRPr="000712C6">
        <w:t xml:space="preserve"> “Wargames”</w:t>
      </w:r>
      <w:r w:rsidRPr="000712C6">
        <w:t xml:space="preserve"> </w:t>
      </w:r>
      <w:r w:rsidR="00EC0D8B" w:rsidRPr="000712C6">
        <w:t>highlighted</w:t>
      </w:r>
      <w:r w:rsidRPr="000712C6">
        <w:t xml:space="preserve"> the potential </w:t>
      </w:r>
      <w:r w:rsidR="00EC0D8B" w:rsidRPr="000712C6">
        <w:t xml:space="preserve">threat of </w:t>
      </w:r>
      <w:r w:rsidR="00B548DA" w:rsidRPr="000712C6">
        <w:t>cybercrime</w:t>
      </w:r>
      <w:r w:rsidR="00EC0D8B" w:rsidRPr="000712C6">
        <w:t xml:space="preserve"> and</w:t>
      </w:r>
      <w:r w:rsidRPr="000712C6">
        <w:t xml:space="preserve"> emphasiz</w:t>
      </w:r>
      <w:r w:rsidR="00EC0D8B" w:rsidRPr="000712C6">
        <w:t>ed</w:t>
      </w:r>
      <w:r w:rsidRPr="000712C6">
        <w:t xml:space="preserve"> the urgent need for laws </w:t>
      </w:r>
      <w:r w:rsidR="00B548DA">
        <w:t xml:space="preserve">addressing </w:t>
      </w:r>
      <w:r w:rsidR="00EC0D8B" w:rsidRPr="000712C6">
        <w:t>hacking and information security</w:t>
      </w:r>
      <w:r w:rsidRPr="000712C6">
        <w:t xml:space="preserve">. Just three years after </w:t>
      </w:r>
      <w:r w:rsidR="00EC0D8B" w:rsidRPr="000712C6">
        <w:t>“Wargames”</w:t>
      </w:r>
      <w:r w:rsidRPr="000712C6">
        <w:t xml:space="preserve"> release</w:t>
      </w:r>
      <w:r w:rsidR="00EC0D8B" w:rsidRPr="000712C6">
        <w:t>,</w:t>
      </w:r>
      <w:r w:rsidRPr="000712C6">
        <w:t xml:space="preserve"> the Computer Fraud and Abuse Act (CFAA) was passed to address these issues and combat other forms of cybercrime.</w:t>
      </w:r>
    </w:p>
    <w:p w14:paraId="21E9AA88" w14:textId="720EE87D" w:rsidR="00292E06" w:rsidRPr="000712C6" w:rsidRDefault="00292E06" w:rsidP="000712C6">
      <w:pPr>
        <w:pStyle w:val="NormalWeb"/>
        <w:spacing w:before="0" w:beforeAutospacing="0" w:after="0" w:afterAutospacing="0" w:line="480" w:lineRule="auto"/>
        <w:ind w:firstLine="720"/>
      </w:pPr>
      <w:r w:rsidRPr="000712C6">
        <w:t xml:space="preserve">The CFAA, </w:t>
      </w:r>
      <w:r w:rsidR="00EC0D8B" w:rsidRPr="000712C6">
        <w:t xml:space="preserve">originally </w:t>
      </w:r>
      <w:r w:rsidRPr="000712C6">
        <w:t>enacted in 1986, is just over three pages long and primarily amend</w:t>
      </w:r>
      <w:r w:rsidR="00EC0D8B" w:rsidRPr="000712C6">
        <w:t>s</w:t>
      </w:r>
      <w:r w:rsidRPr="000712C6">
        <w:t xml:space="preserve"> U.S. Code Title 18 (the primary criminal code of the U.S.) to include </w:t>
      </w:r>
      <w:r w:rsidR="00EC0D8B" w:rsidRPr="000712C6">
        <w:t>cybercrime offenses</w:t>
      </w:r>
      <w:r w:rsidRPr="000712C6">
        <w:t xml:space="preserve">. </w:t>
      </w:r>
      <w:r w:rsidR="00EC0D8B" w:rsidRPr="000712C6">
        <w:t>S</w:t>
      </w:r>
      <w:r w:rsidRPr="000712C6">
        <w:t xml:space="preserve">ince its enactment, </w:t>
      </w:r>
      <w:r w:rsidRPr="000712C6">
        <w:t>the CFAA</w:t>
      </w:r>
      <w:r w:rsidRPr="000712C6">
        <w:t xml:space="preserve"> has been amended many times</w:t>
      </w:r>
      <w:r w:rsidR="00EC0D8B" w:rsidRPr="000712C6">
        <w:t>, and t</w:t>
      </w:r>
      <w:r w:rsidRPr="000712C6">
        <w:t>oday,</w:t>
      </w:r>
      <w:r w:rsidR="00EC0D8B" w:rsidRPr="000712C6">
        <w:t xml:space="preserve"> it </w:t>
      </w:r>
      <w:r w:rsidRPr="000712C6">
        <w:t>criminalizes unauthorized computer</w:t>
      </w:r>
      <w:r w:rsidR="00EC0D8B" w:rsidRPr="000712C6">
        <w:t xml:space="preserve"> access</w:t>
      </w:r>
      <w:r w:rsidRPr="000712C6">
        <w:t xml:space="preserve">, the transmission of malicious code, and activities that damage or </w:t>
      </w:r>
      <w:r w:rsidR="00EC0D8B" w:rsidRPr="000712C6">
        <w:t>steal</w:t>
      </w:r>
      <w:r w:rsidRPr="000712C6">
        <w:t xml:space="preserve"> personal data, </w:t>
      </w:r>
      <w:r w:rsidR="00EC0D8B" w:rsidRPr="000712C6">
        <w:t>while also</w:t>
      </w:r>
      <w:r w:rsidRPr="000712C6">
        <w:t xml:space="preserve"> outlining criminal and civil penalties for violating the Act</w:t>
      </w:r>
      <w:r w:rsidR="000226F7">
        <w:t>, amongst other provisions</w:t>
      </w:r>
      <w:r w:rsidRPr="000712C6">
        <w:t xml:space="preserve">. This essay </w:t>
      </w:r>
      <w:r w:rsidR="00EC0D8B" w:rsidRPr="000712C6">
        <w:t xml:space="preserve">will </w:t>
      </w:r>
      <w:r w:rsidR="00F66B89">
        <w:t>trace</w:t>
      </w:r>
      <w:r w:rsidR="00EC0D8B" w:rsidRPr="000712C6">
        <w:t xml:space="preserve"> the CFAA’s</w:t>
      </w:r>
      <w:r w:rsidRPr="000712C6">
        <w:t xml:space="preserve"> legislative </w:t>
      </w:r>
      <w:r w:rsidR="00EC0D8B" w:rsidRPr="000712C6">
        <w:t>history and</w:t>
      </w:r>
      <w:r w:rsidRPr="000712C6">
        <w:t xml:space="preserve"> amendments</w:t>
      </w:r>
      <w:r w:rsidR="00EC0D8B" w:rsidRPr="000712C6">
        <w:t>, conduct</w:t>
      </w:r>
      <w:r w:rsidRPr="000712C6">
        <w:t xml:space="preserve"> a policy analysis to determine </w:t>
      </w:r>
      <w:r w:rsidR="00EC0D8B" w:rsidRPr="000712C6">
        <w:t>its</w:t>
      </w:r>
      <w:r w:rsidRPr="000712C6">
        <w:t xml:space="preserve"> effectiveness</w:t>
      </w:r>
      <w:r w:rsidRPr="000712C6">
        <w:t xml:space="preserve">, before concluding with a broader look at issues within the U.S. legislative </w:t>
      </w:r>
      <w:r w:rsidR="000226F7">
        <w:t xml:space="preserve">documentation </w:t>
      </w:r>
      <w:r w:rsidRPr="000712C6">
        <w:t>process</w:t>
      </w:r>
      <w:r w:rsidRPr="000712C6">
        <w:t>.</w:t>
      </w:r>
    </w:p>
    <w:p w14:paraId="1C3FD96F" w14:textId="77777777" w:rsidR="00292E06" w:rsidRPr="000712C6" w:rsidRDefault="00292E06" w:rsidP="000712C6">
      <w:pPr>
        <w:pStyle w:val="NormalWeb"/>
        <w:spacing w:before="0" w:beforeAutospacing="0" w:after="0" w:afterAutospacing="0" w:line="480" w:lineRule="auto"/>
      </w:pPr>
      <w:r w:rsidRPr="000712C6">
        <w:t> </w:t>
      </w:r>
    </w:p>
    <w:p w14:paraId="58852960" w14:textId="10CD2487" w:rsidR="00292E06" w:rsidRPr="000712C6" w:rsidRDefault="00292E06" w:rsidP="000712C6">
      <w:pPr>
        <w:pStyle w:val="NormalWeb"/>
        <w:spacing w:before="0" w:beforeAutospacing="0" w:after="0" w:afterAutospacing="0" w:line="480" w:lineRule="auto"/>
        <w:jc w:val="center"/>
      </w:pPr>
      <w:r w:rsidRPr="000712C6">
        <w:rPr>
          <w:rStyle w:val="Strong"/>
          <w:rFonts w:eastAsiaTheme="majorEastAsia"/>
        </w:rPr>
        <w:t xml:space="preserve">CFAA Legislative </w:t>
      </w:r>
      <w:r w:rsidR="00F66B89">
        <w:rPr>
          <w:rStyle w:val="Strong"/>
          <w:rFonts w:eastAsiaTheme="majorEastAsia"/>
        </w:rPr>
        <w:t>Tracing</w:t>
      </w:r>
      <w:r w:rsidRPr="000712C6">
        <w:rPr>
          <w:rStyle w:val="Strong"/>
          <w:rFonts w:eastAsiaTheme="majorEastAsia"/>
        </w:rPr>
        <w:t>:</w:t>
      </w:r>
    </w:p>
    <w:p w14:paraId="6C35C7DB" w14:textId="1A37E670" w:rsidR="00292E06" w:rsidRPr="000712C6" w:rsidRDefault="00292E06" w:rsidP="000712C6">
      <w:pPr>
        <w:pStyle w:val="NormalWeb"/>
        <w:spacing w:before="0" w:beforeAutospacing="0" w:after="0" w:afterAutospacing="0" w:line="480" w:lineRule="auto"/>
        <w:ind w:firstLine="720"/>
      </w:pPr>
      <w:r w:rsidRPr="000712C6">
        <w:t xml:space="preserve">As it is presented on the U.S. Congress website, The original </w:t>
      </w:r>
      <w:r w:rsidRPr="000712C6">
        <w:t xml:space="preserve">1986 </w:t>
      </w:r>
      <w:r w:rsidRPr="000712C6">
        <w:t xml:space="preserve">CFAA amends </w:t>
      </w:r>
      <w:r w:rsidRPr="000712C6">
        <w:t>Title 18 to include</w:t>
      </w:r>
      <w:r w:rsidRPr="000712C6">
        <w:t xml:space="preserve"> offenses relating to </w:t>
      </w:r>
      <w:r w:rsidRPr="000712C6">
        <w:t>cybercrime</w:t>
      </w:r>
      <w:r w:rsidRPr="000712C6">
        <w:t xml:space="preserve">. According to the </w:t>
      </w:r>
      <w:r w:rsidR="00EC0D8B" w:rsidRPr="000712C6">
        <w:t xml:space="preserve">policy </w:t>
      </w:r>
      <w:r w:rsidRPr="000712C6">
        <w:t>summary,</w:t>
      </w:r>
      <w:r w:rsidRPr="000712C6">
        <w:t xml:space="preserve"> the</w:t>
      </w:r>
      <w:r w:rsidRPr="000712C6">
        <w:t xml:space="preserve"> CFAA revises the definition of a financial institution to include corporations and small businesses, modifies federal laws regarding accessing federal computers, creates new federal</w:t>
      </w:r>
      <w:r w:rsidR="00D17719" w:rsidRPr="000712C6">
        <w:t xml:space="preserve"> </w:t>
      </w:r>
      <w:r w:rsidRPr="000712C6">
        <w:lastRenderedPageBreak/>
        <w:t xml:space="preserve">offenses relating to </w:t>
      </w:r>
      <w:r w:rsidR="00D17719" w:rsidRPr="000712C6">
        <w:t>cybercrime</w:t>
      </w:r>
      <w:r w:rsidRPr="000712C6">
        <w:t xml:space="preserve">, eliminates special conspiracy provisions for </w:t>
      </w:r>
      <w:r w:rsidRPr="000712C6">
        <w:t>cybercrime</w:t>
      </w:r>
      <w:r w:rsidRPr="000712C6">
        <w:t xml:space="preserve">, amends the penalty provisions for </w:t>
      </w:r>
      <w:r w:rsidRPr="000712C6">
        <w:t>cybercrime</w:t>
      </w:r>
      <w:r w:rsidRPr="000712C6">
        <w:t>, and ex</w:t>
      </w:r>
      <w:r w:rsidRPr="000712C6">
        <w:t>empts</w:t>
      </w:r>
      <w:r w:rsidRPr="000712C6">
        <w:t xml:space="preserve"> authorized law enforcement or intelligence agencies from the restrictions outlined in </w:t>
      </w:r>
      <w:r w:rsidRPr="000712C6">
        <w:t>the Act</w:t>
      </w:r>
      <w:r w:rsidRPr="000712C6">
        <w:t>. The purpose of the CFAA is to provide a legal framework for addressing and prosecuting c</w:t>
      </w:r>
      <w:r w:rsidRPr="000712C6">
        <w:t>ybercrime</w:t>
      </w:r>
      <w:r w:rsidRPr="000712C6">
        <w:t xml:space="preserve">. No specific agency is </w:t>
      </w:r>
      <w:r w:rsidR="00D17719" w:rsidRPr="000712C6">
        <w:t xml:space="preserve">designated to enforce </w:t>
      </w:r>
      <w:r w:rsidRPr="000712C6">
        <w:t>this legislation</w:t>
      </w:r>
      <w:r w:rsidR="00D17719" w:rsidRPr="000712C6">
        <w:t>; h</w:t>
      </w:r>
      <w:r w:rsidRPr="000712C6">
        <w:t>owever, it can be assumed that agencies within the D</w:t>
      </w:r>
      <w:r w:rsidR="00B548DA">
        <w:t>OJ</w:t>
      </w:r>
      <w:r w:rsidRPr="000712C6">
        <w:t xml:space="preserve">, </w:t>
      </w:r>
      <w:r w:rsidRPr="000712C6">
        <w:t>like the FBI, CIA, NSA</w:t>
      </w:r>
      <w:r w:rsidRPr="000712C6">
        <w:t xml:space="preserve">, and judicial system, </w:t>
      </w:r>
      <w:r w:rsidRPr="000712C6">
        <w:t xml:space="preserve">would be involved in forcing it. </w:t>
      </w:r>
    </w:p>
    <w:p w14:paraId="5867B48E" w14:textId="43B4B621" w:rsidR="00292E06" w:rsidRPr="000712C6" w:rsidRDefault="00292E06" w:rsidP="000712C6">
      <w:pPr>
        <w:pStyle w:val="NormalWeb"/>
        <w:spacing w:before="0" w:beforeAutospacing="0" w:after="0" w:afterAutospacing="0" w:line="480" w:lineRule="auto"/>
        <w:ind w:firstLine="720"/>
      </w:pPr>
      <w:r w:rsidRPr="000712C6">
        <w:t xml:space="preserve">The </w:t>
      </w:r>
      <w:r w:rsidRPr="000712C6">
        <w:t>CFAA was introduced to the House</w:t>
      </w:r>
      <w:r w:rsidRPr="000712C6">
        <w:t xml:space="preserve"> of Repersentatives</w:t>
      </w:r>
      <w:r w:rsidRPr="000712C6">
        <w:t xml:space="preserve"> on April 30, 1986, by Representative W.J. Hughes (D-NJ). It was </w:t>
      </w:r>
      <w:r w:rsidR="00F66B89">
        <w:t xml:space="preserve">amended twice </w:t>
      </w:r>
      <w:r w:rsidRPr="000712C6">
        <w:t xml:space="preserve">before being passed by the House on June 3. Once </w:t>
      </w:r>
      <w:r w:rsidRPr="000712C6">
        <w:t xml:space="preserve">the </w:t>
      </w:r>
      <w:r w:rsidRPr="000712C6">
        <w:t xml:space="preserve">CFAA moved to the Senate, Senator P.S. Trible (R-VA) introduced a substitute bill, </w:t>
      </w:r>
      <w:proofErr w:type="gramStart"/>
      <w:r w:rsidRPr="000712C6">
        <w:t>S.Amdt</w:t>
      </w:r>
      <w:proofErr w:type="gramEnd"/>
      <w:r w:rsidRPr="000712C6">
        <w:t>.3213, which was accepted and incorporated into CFAA</w:t>
      </w:r>
      <w:r w:rsidRPr="000712C6">
        <w:t xml:space="preserve"> before the </w:t>
      </w:r>
      <w:r w:rsidRPr="000712C6">
        <w:t>Senate passed the CFAA on October 3</w:t>
      </w:r>
      <w:r w:rsidR="00F66B89">
        <w:t xml:space="preserve">, which was </w:t>
      </w:r>
      <w:r w:rsidRPr="000712C6">
        <w:t xml:space="preserve">unanimously </w:t>
      </w:r>
      <w:proofErr w:type="gramStart"/>
      <w:r w:rsidRPr="000712C6">
        <w:t>accepted</w:t>
      </w:r>
      <w:proofErr w:type="gramEnd"/>
      <w:r w:rsidRPr="000712C6">
        <w:t xml:space="preserve"> the </w:t>
      </w:r>
      <w:r w:rsidR="00F66B89">
        <w:t>House</w:t>
      </w:r>
      <w:r w:rsidRPr="000712C6">
        <w:t>. President Reagan signed the bill into law on October 16, enacting it as Public Law No: 99-474, better known as the Computer Fraud and Abuse Act of 1986. In total, the CFAA underwent four amendments</w:t>
      </w:r>
      <w:r w:rsidRPr="000712C6">
        <w:t xml:space="preserve"> before its enactment</w:t>
      </w:r>
      <w:r w:rsidRPr="000712C6">
        <w:t>, all</w:t>
      </w:r>
      <w:r w:rsidR="00B548DA">
        <w:t xml:space="preserve"> of which were</w:t>
      </w:r>
      <w:r w:rsidRPr="000712C6">
        <w:t xml:space="preserve"> relatively minor </w:t>
      </w:r>
      <w:r w:rsidR="00B548DA">
        <w:t>vocabulary changes</w:t>
      </w:r>
      <w:r w:rsidRPr="000712C6">
        <w:t xml:space="preserve"> rather than removing </w:t>
      </w:r>
      <w:r w:rsidR="00B548DA">
        <w:t xml:space="preserve">of introducing new </w:t>
      </w:r>
      <w:r w:rsidRPr="000712C6">
        <w:t>provisions</w:t>
      </w:r>
      <w:r w:rsidR="00B548DA">
        <w:t>.</w:t>
      </w:r>
    </w:p>
    <w:p w14:paraId="60D22991" w14:textId="1738F373" w:rsidR="00292E06" w:rsidRPr="000712C6" w:rsidRDefault="00292E06" w:rsidP="000712C6">
      <w:pPr>
        <w:pStyle w:val="NormalWeb"/>
        <w:spacing w:before="0" w:beforeAutospacing="0" w:after="0" w:afterAutospacing="0" w:line="480" w:lineRule="auto"/>
        <w:ind w:firstLine="720"/>
      </w:pPr>
      <w:r w:rsidRPr="000712C6">
        <w:t xml:space="preserve">Since </w:t>
      </w:r>
      <w:r w:rsidR="00F66B89">
        <w:t>its enactment, the CFAA</w:t>
      </w:r>
      <w:r w:rsidRPr="000712C6">
        <w:t xml:space="preserve"> has been amended and expanded multiple times by</w:t>
      </w:r>
      <w:r w:rsidR="00F66B89">
        <w:t xml:space="preserve"> different</w:t>
      </w:r>
      <w:r w:rsidRPr="000712C6">
        <w:t xml:space="preserve"> </w:t>
      </w:r>
      <w:r w:rsidR="00D17719" w:rsidRPr="000712C6">
        <w:t>legislation</w:t>
      </w:r>
      <w:r w:rsidRPr="000712C6">
        <w:t xml:space="preserve"> </w:t>
      </w:r>
      <w:r w:rsidRPr="000712C6">
        <w:t>in 1994, 1996, 2001, 2002, and 2008</w:t>
      </w:r>
      <w:r w:rsidR="00F66B89">
        <w:t xml:space="preserve">, </w:t>
      </w:r>
      <w:r w:rsidRPr="000712C6">
        <w:t>with numerous other attempts at amendment</w:t>
      </w:r>
      <w:r w:rsidR="00B548DA">
        <w:t xml:space="preserve"> </w:t>
      </w:r>
      <w:r w:rsidR="00B548DA" w:rsidRPr="000712C6">
        <w:t>(NACDL, 2022)</w:t>
      </w:r>
      <w:r w:rsidRPr="000712C6">
        <w:t xml:space="preserve">. In 1994, civil penalties were introduced, allowing victims of cybercrime to seek </w:t>
      </w:r>
      <w:r w:rsidRPr="000712C6">
        <w:t xml:space="preserve">financial </w:t>
      </w:r>
      <w:r w:rsidRPr="000712C6">
        <w:t xml:space="preserve">compensation, and additional </w:t>
      </w:r>
      <w:r w:rsidRPr="000712C6">
        <w:t>cybercrimes</w:t>
      </w:r>
      <w:r w:rsidRPr="000712C6">
        <w:t xml:space="preserve">, such as password trafficking and the transmission of malicious code, were criminalized. In 1996, the Economic Espionage Act broadened the CFAA to prohibit obtaining any information through interstate or foreign communication, not just financial records and elevated certain misdemeanor violations to felonies. Following the 2001 World Trade Center attack, the USA PATRIOT Act further </w:t>
      </w:r>
      <w:r w:rsidRPr="000712C6">
        <w:lastRenderedPageBreak/>
        <w:t>expanded the CFAA by increasing felony triggers and broadening the definition of a government computer. In 2002, the scope of protected computers was expanded to include data processing technology. Finally, in 2008, the Identity Theft Enforcement and Restitution Act removed damage thresholds for prosecution, facilitating easier prosecution of cybercrimes.</w:t>
      </w:r>
    </w:p>
    <w:p w14:paraId="79918367" w14:textId="77777777" w:rsidR="00292E06" w:rsidRPr="000712C6" w:rsidRDefault="00292E06" w:rsidP="000712C6">
      <w:pPr>
        <w:pStyle w:val="NormalWeb"/>
        <w:spacing w:before="0" w:beforeAutospacing="0" w:after="0" w:afterAutospacing="0" w:line="480" w:lineRule="auto"/>
      </w:pPr>
      <w:r w:rsidRPr="000712C6">
        <w:t> </w:t>
      </w:r>
    </w:p>
    <w:p w14:paraId="5E6AFD8D" w14:textId="77777777" w:rsidR="00292E06" w:rsidRPr="000712C6" w:rsidRDefault="00292E06" w:rsidP="000712C6">
      <w:pPr>
        <w:pStyle w:val="NormalWeb"/>
        <w:spacing w:before="0" w:beforeAutospacing="0" w:after="0" w:afterAutospacing="0" w:line="480" w:lineRule="auto"/>
        <w:jc w:val="center"/>
      </w:pPr>
      <w:r w:rsidRPr="000712C6">
        <w:rPr>
          <w:rStyle w:val="Strong"/>
          <w:rFonts w:eastAsiaTheme="majorEastAsia"/>
        </w:rPr>
        <w:t>CFAA Policy Analysis</w:t>
      </w:r>
    </w:p>
    <w:p w14:paraId="498E033B" w14:textId="5CF7867F" w:rsidR="00292E06" w:rsidRPr="000712C6" w:rsidRDefault="00292E06" w:rsidP="000712C6">
      <w:pPr>
        <w:pStyle w:val="NormalWeb"/>
        <w:spacing w:before="0" w:beforeAutospacing="0" w:after="0" w:afterAutospacing="0" w:line="480" w:lineRule="auto"/>
        <w:ind w:firstLine="720"/>
      </w:pPr>
      <w:r w:rsidRPr="000712C6">
        <w:t xml:space="preserve">For the purposes of this essay, this policy analysis will be based on the original </w:t>
      </w:r>
      <w:r w:rsidRPr="000712C6">
        <w:t xml:space="preserve">1986 </w:t>
      </w:r>
      <w:r w:rsidRPr="000712C6">
        <w:t xml:space="preserve">CFAA and any information </w:t>
      </w:r>
      <w:r w:rsidR="00E07BFF" w:rsidRPr="000712C6">
        <w:t xml:space="preserve">directly </w:t>
      </w:r>
      <w:r w:rsidR="00D17719" w:rsidRPr="000712C6">
        <w:t xml:space="preserve">available </w:t>
      </w:r>
      <w:r w:rsidRPr="000712C6">
        <w:t xml:space="preserve">on </w:t>
      </w:r>
      <w:r w:rsidR="00B548DA">
        <w:t>its</w:t>
      </w:r>
      <w:r w:rsidRPr="000712C6">
        <w:t xml:space="preserve"> U.S. Congress </w:t>
      </w:r>
      <w:r w:rsidR="00E07BFF" w:rsidRPr="000712C6">
        <w:t>policy page</w:t>
      </w:r>
      <w:r w:rsidRPr="000712C6">
        <w:t>. Because the U.S. Congress entry on</w:t>
      </w:r>
      <w:r w:rsidR="00E07BFF" w:rsidRPr="000712C6">
        <w:t xml:space="preserve"> the</w:t>
      </w:r>
      <w:r w:rsidRPr="000712C6">
        <w:t xml:space="preserve"> CFAA does not include any information or linkage regarding its subsequent amendments in 1994, 1996, 2001, 2002, or 2008, this analysis will not delve into these amendments. </w:t>
      </w:r>
      <w:r w:rsidR="00D17719" w:rsidRPr="000712C6">
        <w:t xml:space="preserve">However, these amendments will be kept in mind when suggesting any policy additions. </w:t>
      </w:r>
      <w:r w:rsidR="00D17719" w:rsidRPr="000712C6">
        <w:t xml:space="preserve">This </w:t>
      </w:r>
      <w:r w:rsidRPr="000712C6">
        <w:t xml:space="preserve">analysis will consist of </w:t>
      </w:r>
      <w:r w:rsidR="00844404" w:rsidRPr="000712C6">
        <w:t>six</w:t>
      </w:r>
      <w:r w:rsidRPr="000712C6">
        <w:t xml:space="preserve"> sections, evaluating </w:t>
      </w:r>
      <w:r w:rsidR="00D17719" w:rsidRPr="000712C6">
        <w:t xml:space="preserve">the </w:t>
      </w:r>
      <w:r w:rsidRPr="000712C6">
        <w:t xml:space="preserve">CFAA's clarity, interpretation, relationship with other policies, implementation, </w:t>
      </w:r>
      <w:r w:rsidR="00844404" w:rsidRPr="000712C6">
        <w:t xml:space="preserve">evaluation, and ethical issues. </w:t>
      </w:r>
    </w:p>
    <w:p w14:paraId="681ED5AF" w14:textId="77777777" w:rsidR="00292E06" w:rsidRPr="000712C6" w:rsidRDefault="00292E06" w:rsidP="000712C6">
      <w:pPr>
        <w:pStyle w:val="NormalWeb"/>
        <w:spacing w:before="0" w:beforeAutospacing="0" w:after="0" w:afterAutospacing="0" w:line="480" w:lineRule="auto"/>
      </w:pPr>
      <w:r w:rsidRPr="000712C6">
        <w:t> </w:t>
      </w:r>
    </w:p>
    <w:p w14:paraId="01F87FF5" w14:textId="77777777" w:rsidR="00292E06" w:rsidRPr="000712C6" w:rsidRDefault="00292E06" w:rsidP="000712C6">
      <w:pPr>
        <w:pStyle w:val="NormalWeb"/>
        <w:spacing w:before="0" w:beforeAutospacing="0" w:after="0" w:afterAutospacing="0" w:line="480" w:lineRule="auto"/>
      </w:pPr>
      <w:r w:rsidRPr="000712C6">
        <w:rPr>
          <w:rStyle w:val="Strong"/>
          <w:rFonts w:eastAsiaTheme="majorEastAsia"/>
        </w:rPr>
        <w:t>Meaning, Clarity, and Consistency</w:t>
      </w:r>
    </w:p>
    <w:p w14:paraId="69439D8B" w14:textId="77AF93AB" w:rsidR="00292E06" w:rsidRPr="000712C6" w:rsidRDefault="00292E06" w:rsidP="000712C6">
      <w:pPr>
        <w:pStyle w:val="NormalWeb"/>
        <w:spacing w:before="0" w:beforeAutospacing="0" w:after="0" w:afterAutospacing="0" w:line="480" w:lineRule="auto"/>
        <w:ind w:firstLine="720"/>
      </w:pPr>
      <w:r w:rsidRPr="000712C6">
        <w:t xml:space="preserve">While the summary provided on the U.S. Congress </w:t>
      </w:r>
      <w:r w:rsidR="00E07BFF" w:rsidRPr="000712C6">
        <w:t>policy</w:t>
      </w:r>
      <w:r w:rsidRPr="000712C6">
        <w:t xml:space="preserve"> page for the CFAA is relatively straightforward, the </w:t>
      </w:r>
      <w:r w:rsidR="00E07BFF" w:rsidRPr="000712C6">
        <w:t>plain</w:t>
      </w:r>
      <w:r w:rsidRPr="000712C6">
        <w:t xml:space="preserve"> text of the Act is more complex and challenging to interpret. The CFAA contains numerous amendments</w:t>
      </w:r>
      <w:r w:rsidR="00D17719" w:rsidRPr="000712C6">
        <w:t xml:space="preserve">, </w:t>
      </w:r>
      <w:r w:rsidRPr="000712C6">
        <w:t>strikethroughs</w:t>
      </w:r>
      <w:r w:rsidR="00D17719" w:rsidRPr="000712C6">
        <w:t>, and references</w:t>
      </w:r>
      <w:r w:rsidRPr="000712C6">
        <w:t xml:space="preserve"> to Title 18</w:t>
      </w:r>
      <w:r w:rsidR="00E07BFF" w:rsidRPr="000712C6">
        <w:t xml:space="preserve"> </w:t>
      </w:r>
      <w:r w:rsidRPr="000712C6">
        <w:t xml:space="preserve">without providing context about </w:t>
      </w:r>
      <w:r w:rsidR="00D17719" w:rsidRPr="000712C6">
        <w:t>its</w:t>
      </w:r>
      <w:r w:rsidRPr="000712C6">
        <w:t xml:space="preserve"> original purpose or previous content. Because of this, understanding the </w:t>
      </w:r>
      <w:r w:rsidR="00D17719" w:rsidRPr="000712C6">
        <w:t>CFAA</w:t>
      </w:r>
      <w:r w:rsidRPr="000712C6">
        <w:t xml:space="preserve"> is difficult without a reference to Title 18 on hand. </w:t>
      </w:r>
      <w:r w:rsidR="00E07BFF" w:rsidRPr="000712C6">
        <w:t>The</w:t>
      </w:r>
      <w:r w:rsidRPr="000712C6">
        <w:t xml:space="preserve"> Act does include a summary at the beginning, stating its primary purpose: "To amend title 18, United States Code, to provide additional penalties for fraud and related activities in connection with access devices and computers, and for other purposes" (CFAA, 1986). Individuals well-versed in Title 18 most </w:t>
      </w:r>
      <w:r w:rsidRPr="000712C6">
        <w:lastRenderedPageBreak/>
        <w:t xml:space="preserve">likely find the CFAA easier to comprehend; however, those without a </w:t>
      </w:r>
      <w:r w:rsidR="00E07BFF" w:rsidRPr="000712C6">
        <w:t xml:space="preserve">legal </w:t>
      </w:r>
      <w:r w:rsidRPr="000712C6">
        <w:t>background may find it considerably more challenging.</w:t>
      </w:r>
    </w:p>
    <w:p w14:paraId="7BDECF29" w14:textId="01E8A2B3" w:rsidR="00292E06" w:rsidRPr="000712C6" w:rsidRDefault="00292E06" w:rsidP="00F66B89">
      <w:pPr>
        <w:pStyle w:val="NormalWeb"/>
        <w:spacing w:before="0" w:beforeAutospacing="0" w:after="0" w:afterAutospacing="0" w:line="480" w:lineRule="auto"/>
        <w:ind w:firstLine="720"/>
      </w:pPr>
      <w:r w:rsidRPr="000712C6">
        <w:t xml:space="preserve">Generally speaking, the intent of this bill can be understood as follows: the CFAA wishes to create increased deterrence for </w:t>
      </w:r>
      <w:r w:rsidR="00E07BFF" w:rsidRPr="000712C6">
        <w:t>cybercrime.</w:t>
      </w:r>
      <w:r w:rsidRPr="000712C6">
        <w:t xml:space="preserve"> Moreover, assuming one has </w:t>
      </w:r>
      <w:r w:rsidR="00E07BFF" w:rsidRPr="000712C6">
        <w:t xml:space="preserve">a reference to </w:t>
      </w:r>
      <w:r w:rsidRPr="000712C6">
        <w:t>Title 18 on hand, the specifics of how the CFAA wishes to achieve this can be discerned through the plain text of this bill. The CFAA declares that it is making amendments to conspiracy and penalty codes, modifying definitions to include and specify how c</w:t>
      </w:r>
      <w:r w:rsidR="00E07BFF" w:rsidRPr="000712C6">
        <w:t xml:space="preserve">ybercrimes </w:t>
      </w:r>
      <w:r w:rsidRPr="000712C6">
        <w:t>are represented in existing offenses in Title 18, and adding three new offenses relating to c</w:t>
      </w:r>
      <w:r w:rsidR="00E07BFF" w:rsidRPr="000712C6">
        <w:t>ybercrime</w:t>
      </w:r>
      <w:r w:rsidRPr="000712C6">
        <w:t>. While this bill can be confusing to read without Title 18 on hand, its provisions and amendments to existing U.S. code clearly aim to strengthen the legal framework surrounding c</w:t>
      </w:r>
      <w:r w:rsidR="00E07BFF" w:rsidRPr="000712C6">
        <w:t>ybercrime</w:t>
      </w:r>
      <w:r w:rsidR="00F66B89">
        <w:t xml:space="preserve">, and that </w:t>
      </w:r>
      <w:r w:rsidRPr="000712C6">
        <w:t>intent is evident even when simply looking at the individual section declarations of the CFAA. </w:t>
      </w:r>
      <w:r w:rsidR="00F66B89">
        <w:t>T</w:t>
      </w:r>
      <w:r w:rsidRPr="000712C6">
        <w:t xml:space="preserve">he plain text of the CFAA </w:t>
      </w:r>
      <w:r w:rsidR="00F66B89">
        <w:t>might</w:t>
      </w:r>
      <w:r w:rsidRPr="000712C6">
        <w:t xml:space="preserve"> not provide examples of how </w:t>
      </w:r>
      <w:r w:rsidR="00F66B89">
        <w:t>it</w:t>
      </w:r>
      <w:r w:rsidRPr="000712C6">
        <w:t xml:space="preserve"> should be applied</w:t>
      </w:r>
      <w:r w:rsidR="00F66B89">
        <w:t xml:space="preserve">; however, </w:t>
      </w:r>
      <w:r w:rsidRPr="000712C6">
        <w:t xml:space="preserve">its intent is consistently addressed in </w:t>
      </w:r>
      <w:r w:rsidR="00F66B89">
        <w:t>its</w:t>
      </w:r>
      <w:r w:rsidRPr="000712C6">
        <w:t xml:space="preserve"> body</w:t>
      </w:r>
      <w:r w:rsidR="00F66B89">
        <w:t>.</w:t>
      </w:r>
    </w:p>
    <w:p w14:paraId="2DBE4CA2" w14:textId="77777777" w:rsidR="00292E06" w:rsidRPr="000712C6" w:rsidRDefault="00292E06" w:rsidP="000712C6">
      <w:pPr>
        <w:pStyle w:val="NormalWeb"/>
        <w:spacing w:before="0" w:beforeAutospacing="0" w:after="0" w:afterAutospacing="0" w:line="480" w:lineRule="auto"/>
      </w:pPr>
      <w:r w:rsidRPr="000712C6">
        <w:t> </w:t>
      </w:r>
    </w:p>
    <w:p w14:paraId="788EBCB0" w14:textId="77777777" w:rsidR="00292E06" w:rsidRPr="000712C6" w:rsidRDefault="00292E06" w:rsidP="000712C6">
      <w:pPr>
        <w:pStyle w:val="NormalWeb"/>
        <w:spacing w:before="0" w:beforeAutospacing="0" w:after="0" w:afterAutospacing="0" w:line="480" w:lineRule="auto"/>
      </w:pPr>
      <w:r w:rsidRPr="000712C6">
        <w:rPr>
          <w:rStyle w:val="Strong"/>
          <w:rFonts w:eastAsiaTheme="majorEastAsia"/>
        </w:rPr>
        <w:t>Implementation</w:t>
      </w:r>
    </w:p>
    <w:p w14:paraId="16E9A3FA" w14:textId="7DB1F9CA" w:rsidR="00292E06" w:rsidRPr="000712C6" w:rsidRDefault="00292E06" w:rsidP="000712C6">
      <w:pPr>
        <w:pStyle w:val="NormalWeb"/>
        <w:spacing w:before="0" w:beforeAutospacing="0" w:after="0" w:afterAutospacing="0" w:line="480" w:lineRule="auto"/>
        <w:ind w:firstLine="720"/>
      </w:pPr>
      <w:r w:rsidRPr="000712C6">
        <w:t xml:space="preserve">The wording of CFAA is </w:t>
      </w:r>
      <w:r w:rsidR="00D17719" w:rsidRPr="000712C6">
        <w:t>notoriously</w:t>
      </w:r>
      <w:r w:rsidRPr="000712C6">
        <w:t xml:space="preserve"> broad, sparking considerable debate about its scope and limitations since its enactment (and subsequent amendments). Much of the Act is dedicated to defining and redefining terms essential to understanding its provisions</w:t>
      </w:r>
      <w:r w:rsidR="00D17719" w:rsidRPr="000712C6">
        <w:t xml:space="preserve"> while </w:t>
      </w:r>
      <w:r w:rsidRPr="000712C6">
        <w:t>clearly outlines what constitutes prohibited conduct</w:t>
      </w:r>
      <w:r w:rsidR="00D17719" w:rsidRPr="000712C6">
        <w:t xml:space="preserve">. </w:t>
      </w:r>
      <w:r w:rsidRPr="000712C6">
        <w:t>Moreover, the CFAA includes amendments that adjust criminal penalties, providing varying degrees of punishment based on the severity of the offense. It also establishes exemptions for law enforcement and intelligence agencies, allowing them leeway in certain investigative activitie</w:t>
      </w:r>
      <w:r w:rsidR="00D17719" w:rsidRPr="000712C6">
        <w:t xml:space="preserve">s, and </w:t>
      </w:r>
      <w:r w:rsidRPr="000712C6">
        <w:t>extends federal jurisdiction over c</w:t>
      </w:r>
      <w:r w:rsidR="00D17719" w:rsidRPr="000712C6">
        <w:t>ybercrime</w:t>
      </w:r>
      <w:r w:rsidR="00C4130B" w:rsidRPr="000712C6">
        <w:t xml:space="preserve"> related offenses</w:t>
      </w:r>
      <w:r w:rsidRPr="000712C6">
        <w:t xml:space="preserve">. Overall, the CFAA sufficiently establishes its parameters despite dealing with multiple </w:t>
      </w:r>
      <w:r w:rsidRPr="000712C6">
        <w:lastRenderedPageBreak/>
        <w:t>topic areas (criminal punishment, information technology, finance, etc.); however, because of the Act's broad language, it can and has been plausibly interpreted in multiple ways.</w:t>
      </w:r>
    </w:p>
    <w:p w14:paraId="1C446100" w14:textId="77777777" w:rsidR="00292E06" w:rsidRPr="000712C6" w:rsidRDefault="00292E06" w:rsidP="000712C6">
      <w:pPr>
        <w:pStyle w:val="NormalWeb"/>
        <w:spacing w:before="0" w:beforeAutospacing="0" w:after="0" w:afterAutospacing="0" w:line="480" w:lineRule="auto"/>
      </w:pPr>
      <w:r w:rsidRPr="000712C6">
        <w:t> </w:t>
      </w:r>
    </w:p>
    <w:p w14:paraId="0649F2CD" w14:textId="77777777" w:rsidR="00292E06" w:rsidRPr="000712C6" w:rsidRDefault="00292E06" w:rsidP="000712C6">
      <w:pPr>
        <w:pStyle w:val="NormalWeb"/>
        <w:spacing w:before="0" w:beforeAutospacing="0" w:after="0" w:afterAutospacing="0" w:line="480" w:lineRule="auto"/>
      </w:pPr>
      <w:r w:rsidRPr="000712C6">
        <w:rPr>
          <w:rStyle w:val="Strong"/>
          <w:rFonts w:eastAsiaTheme="majorEastAsia"/>
        </w:rPr>
        <w:t>Relationships with Other Policies</w:t>
      </w:r>
    </w:p>
    <w:p w14:paraId="5DF465FB" w14:textId="4CF03E3B" w:rsidR="00292E06" w:rsidRPr="000712C6" w:rsidRDefault="00292E06" w:rsidP="000712C6">
      <w:pPr>
        <w:pStyle w:val="NormalWeb"/>
        <w:spacing w:before="0" w:beforeAutospacing="0" w:after="0" w:afterAutospacing="0" w:line="480" w:lineRule="auto"/>
        <w:ind w:firstLine="720"/>
      </w:pPr>
      <w:r w:rsidRPr="000712C6">
        <w:t>The 1986 CFAA presents a multitude of contradictions and unspecified relationships with other policies. The CFAA introduces extensive amendments and modifications to Title 18, and its broad, sometimes ambiguous, language has resulted in varying interpretations among</w:t>
      </w:r>
      <w:r w:rsidR="00C4130B" w:rsidRPr="000712C6">
        <w:t>st</w:t>
      </w:r>
      <w:r w:rsidRPr="000712C6">
        <w:t xml:space="preserve"> judges in different jurisdictions. Following the 1994 amendment, the CFAA was modified to </w:t>
      </w:r>
      <w:r w:rsidR="00C4130B" w:rsidRPr="000712C6">
        <w:t>include</w:t>
      </w:r>
      <w:r w:rsidRPr="000712C6">
        <w:t xml:space="preserve"> legal courses of action in both the criminal and civil courts; however, these courts have different </w:t>
      </w:r>
      <w:r w:rsidR="00E07BFF" w:rsidRPr="000712C6">
        <w:t>burdens</w:t>
      </w:r>
      <w:r w:rsidRPr="000712C6">
        <w:t xml:space="preserve"> of proof and contradictions of how violations should be addressed in each court are not specified. While the CFAA markets itself primarily as a standalone policy, as its U.S. Congress policy page indicates no related bills other than S.Amdt.3213 (</w:t>
      </w:r>
      <w:r w:rsidR="00E07BFF" w:rsidRPr="000712C6">
        <w:t>t</w:t>
      </w:r>
      <w:r w:rsidRPr="000712C6">
        <w:t xml:space="preserve">he October 1986 Senate amendment), it intersects with numerous facets of Title 18 and beyond. Its enforcement and application require the consideration of </w:t>
      </w:r>
      <w:r w:rsidR="00C4130B" w:rsidRPr="000712C6">
        <w:t xml:space="preserve">many </w:t>
      </w:r>
      <w:r w:rsidRPr="000712C6">
        <w:t>other</w:t>
      </w:r>
      <w:r w:rsidR="00C4130B" w:rsidRPr="000712C6">
        <w:t xml:space="preserve"> </w:t>
      </w:r>
      <w:r w:rsidRPr="000712C6">
        <w:t xml:space="preserve">laws, policies, and international agreements concerning cybersecurity, data protection, and electronic communications privacy. The fact that these intersections were not acknowledged in the original 1986 CFAA is concerning, as it </w:t>
      </w:r>
      <w:r w:rsidR="00C4130B" w:rsidRPr="000712C6">
        <w:t>could create</w:t>
      </w:r>
      <w:r w:rsidRPr="000712C6">
        <w:t xml:space="preserve"> issues regarding how it fits with other laws and global standards.</w:t>
      </w:r>
    </w:p>
    <w:p w14:paraId="23F8B615" w14:textId="54B6629A" w:rsidR="00B548DA" w:rsidRPr="000712C6" w:rsidRDefault="00292E06" w:rsidP="000712C6">
      <w:pPr>
        <w:pStyle w:val="NormalWeb"/>
        <w:spacing w:before="0" w:beforeAutospacing="0" w:after="0" w:afterAutospacing="0" w:line="480" w:lineRule="auto"/>
      </w:pPr>
      <w:r w:rsidRPr="000712C6">
        <w:t> </w:t>
      </w:r>
    </w:p>
    <w:p w14:paraId="0C49F446" w14:textId="77777777" w:rsidR="00292E06" w:rsidRPr="000712C6" w:rsidRDefault="00292E06" w:rsidP="000712C6">
      <w:pPr>
        <w:pStyle w:val="NormalWeb"/>
        <w:spacing w:before="0" w:beforeAutospacing="0" w:after="0" w:afterAutospacing="0" w:line="480" w:lineRule="auto"/>
      </w:pPr>
      <w:r w:rsidRPr="000712C6">
        <w:rPr>
          <w:rStyle w:val="Strong"/>
          <w:rFonts w:eastAsiaTheme="majorEastAsia"/>
        </w:rPr>
        <w:t>Implementation</w:t>
      </w:r>
    </w:p>
    <w:p w14:paraId="0C2CCCBE" w14:textId="2283E5A6" w:rsidR="00292E06" w:rsidRPr="000712C6" w:rsidRDefault="00292E06" w:rsidP="000712C6">
      <w:pPr>
        <w:pStyle w:val="NormalWeb"/>
        <w:spacing w:before="0" w:beforeAutospacing="0" w:after="0" w:afterAutospacing="0" w:line="480" w:lineRule="auto"/>
        <w:ind w:firstLine="720"/>
      </w:pPr>
      <w:r w:rsidRPr="000712C6">
        <w:t xml:space="preserve">The primary method of implementing the CFAA involves updating definitions and introducing new offenses to Title 18. The Act does not specify designated </w:t>
      </w:r>
      <w:r w:rsidR="00C4130B" w:rsidRPr="000712C6">
        <w:t>an e</w:t>
      </w:r>
      <w:r w:rsidRPr="000712C6">
        <w:t xml:space="preserve">ntity responsible for its implementation; however, it can be inferred that the entities tasked with enforcing Title 18 are also responsible for implementing these amendments. Additionally, the CFAA does not set a </w:t>
      </w:r>
      <w:r w:rsidRPr="000712C6">
        <w:lastRenderedPageBreak/>
        <w:t xml:space="preserve">specific timeframe for </w:t>
      </w:r>
      <w:r w:rsidR="00C4130B" w:rsidRPr="000712C6">
        <w:t xml:space="preserve">its </w:t>
      </w:r>
      <w:r w:rsidRPr="000712C6">
        <w:t xml:space="preserve">implementation, so it can once again be assumed </w:t>
      </w:r>
      <w:r w:rsidR="00C4130B" w:rsidRPr="000712C6">
        <w:t xml:space="preserve">that it is </w:t>
      </w:r>
      <w:r w:rsidRPr="000712C6">
        <w:t xml:space="preserve">effective immediately. The fact that many important aspects of CFAA's implementation are left to assumption reflects poorly on the Act and what </w:t>
      </w:r>
      <w:r w:rsidR="00E07BFF" w:rsidRPr="000712C6">
        <w:t xml:space="preserve">it seeks </w:t>
      </w:r>
      <w:r w:rsidRPr="000712C6">
        <w:t>to accomplish.</w:t>
      </w:r>
    </w:p>
    <w:p w14:paraId="2DB7480D" w14:textId="77777777" w:rsidR="00292E06" w:rsidRPr="000712C6" w:rsidRDefault="00292E06" w:rsidP="000712C6">
      <w:pPr>
        <w:pStyle w:val="NormalWeb"/>
        <w:spacing w:before="0" w:beforeAutospacing="0" w:after="0" w:afterAutospacing="0" w:line="480" w:lineRule="auto"/>
      </w:pPr>
      <w:r w:rsidRPr="000712C6">
        <w:t> </w:t>
      </w:r>
    </w:p>
    <w:p w14:paraId="6B53E8F2" w14:textId="092F269A" w:rsidR="00292E06" w:rsidRPr="000712C6" w:rsidRDefault="00292E06" w:rsidP="000712C6">
      <w:pPr>
        <w:pStyle w:val="NormalWeb"/>
        <w:spacing w:before="0" w:beforeAutospacing="0" w:after="0" w:afterAutospacing="0" w:line="480" w:lineRule="auto"/>
      </w:pPr>
      <w:r w:rsidRPr="000712C6">
        <w:rPr>
          <w:rStyle w:val="Strong"/>
          <w:rFonts w:eastAsiaTheme="majorEastAsia"/>
        </w:rPr>
        <w:t xml:space="preserve">Evaluations </w:t>
      </w:r>
      <w:r w:rsidR="00C4130B" w:rsidRPr="000712C6">
        <w:rPr>
          <w:rStyle w:val="Strong"/>
          <w:rFonts w:eastAsiaTheme="majorEastAsia"/>
        </w:rPr>
        <w:t xml:space="preserve">and </w:t>
      </w:r>
      <w:r w:rsidR="00B548DA" w:rsidRPr="000712C6">
        <w:rPr>
          <w:rStyle w:val="Strong"/>
          <w:rFonts w:eastAsiaTheme="majorEastAsia"/>
        </w:rPr>
        <w:t>Additions</w:t>
      </w:r>
    </w:p>
    <w:p w14:paraId="4109C0B6" w14:textId="41FE0B97" w:rsidR="00292E06" w:rsidRPr="000712C6" w:rsidRDefault="00844404" w:rsidP="000712C6">
      <w:pPr>
        <w:pStyle w:val="NormalWeb"/>
        <w:spacing w:before="0" w:beforeAutospacing="0" w:after="0" w:afterAutospacing="0" w:line="480" w:lineRule="auto"/>
        <w:ind w:firstLine="720"/>
      </w:pPr>
      <w:r w:rsidRPr="000712C6">
        <w:t>Unsurprisingly,</w:t>
      </w:r>
      <w:r w:rsidR="00292E06" w:rsidRPr="000712C6">
        <w:t xml:space="preserve"> the CFAA</w:t>
      </w:r>
      <w:r w:rsidRPr="000712C6">
        <w:t xml:space="preserve"> </w:t>
      </w:r>
      <w:r w:rsidR="00292E06" w:rsidRPr="000712C6">
        <w:t xml:space="preserve">does not explicitly outline how the effects of </w:t>
      </w:r>
      <w:r w:rsidRPr="000712C6">
        <w:t>the</w:t>
      </w:r>
      <w:r w:rsidR="00292E06" w:rsidRPr="000712C6">
        <w:t xml:space="preserve"> </w:t>
      </w:r>
      <w:r w:rsidRPr="000712C6">
        <w:t>Act</w:t>
      </w:r>
      <w:r w:rsidR="00292E06" w:rsidRPr="000712C6">
        <w:t xml:space="preserve"> should be evaluated. Some ways </w:t>
      </w:r>
      <w:r w:rsidR="00C4130B" w:rsidRPr="000712C6">
        <w:t>that could be used to</w:t>
      </w:r>
      <w:r w:rsidR="00292E06" w:rsidRPr="000712C6">
        <w:t xml:space="preserve"> assess the effectiveness of the CFAA include general offense evaluations, such as calculating how many people are committing the </w:t>
      </w:r>
      <w:r w:rsidR="00C4130B" w:rsidRPr="000712C6">
        <w:t>CFAA violations</w:t>
      </w:r>
      <w:r w:rsidR="00292E06" w:rsidRPr="000712C6">
        <w:t xml:space="preserve">, how many victims are bringing up </w:t>
      </w:r>
      <w:r w:rsidR="00C4130B" w:rsidRPr="000712C6">
        <w:t xml:space="preserve">CFAA </w:t>
      </w:r>
      <w:r w:rsidR="00292E06" w:rsidRPr="000712C6">
        <w:t xml:space="preserve">cases, how often the CFAA is being referenced in court, or how many investigations for CFAA violations are </w:t>
      </w:r>
      <w:r w:rsidRPr="000712C6">
        <w:t xml:space="preserve">currently </w:t>
      </w:r>
      <w:r w:rsidR="00292E06" w:rsidRPr="000712C6">
        <w:t>being conducted. Seeking feedback from cybersecurity professionals may also help evaluate the effects and effectiveness of the CFAA with its current amendments.</w:t>
      </w:r>
    </w:p>
    <w:p w14:paraId="6450AFA4" w14:textId="77777777" w:rsidR="00C4130B" w:rsidRPr="000712C6" w:rsidRDefault="00C4130B" w:rsidP="000712C6">
      <w:pPr>
        <w:pStyle w:val="NormalWeb"/>
        <w:spacing w:before="0" w:beforeAutospacing="0" w:after="0" w:afterAutospacing="0" w:line="480" w:lineRule="auto"/>
        <w:ind w:firstLine="720"/>
      </w:pPr>
      <w:r w:rsidRPr="000712C6">
        <w:t>When analyzing the provisions established by the original 1986 CFAA, it quickly becomes apparent that, despite its commendable clarity, it was riddled with assumptions and pitfalls. Thankfully, many of these pitfalls were addressed in the subsequent amendments discussed previously in this essay; however, one issue that persists is the broad nature of this Act. Increasing the specificity of the CFAA, such as comprehensively determining what is covered by the Act or specifying how to handle differing burdens of proof in criminal and civil courts when determining violation penalties, would help ensure more consistent enforcement of the CFAA.</w:t>
      </w:r>
    </w:p>
    <w:p w14:paraId="434BD1B5" w14:textId="77777777" w:rsidR="00844404" w:rsidRPr="000712C6" w:rsidRDefault="00844404" w:rsidP="000712C6">
      <w:pPr>
        <w:pStyle w:val="NormalWeb"/>
        <w:spacing w:before="0" w:beforeAutospacing="0" w:after="0" w:afterAutospacing="0" w:line="480" w:lineRule="auto"/>
        <w:rPr>
          <w:b/>
          <w:bCs/>
        </w:rPr>
      </w:pPr>
    </w:p>
    <w:p w14:paraId="2667A769" w14:textId="77F38683" w:rsidR="00844404" w:rsidRPr="000712C6" w:rsidRDefault="00844404" w:rsidP="000712C6">
      <w:pPr>
        <w:pStyle w:val="NormalWeb"/>
        <w:spacing w:before="0" w:beforeAutospacing="0" w:after="0" w:afterAutospacing="0" w:line="480" w:lineRule="auto"/>
        <w:rPr>
          <w:b/>
          <w:bCs/>
        </w:rPr>
      </w:pPr>
      <w:r w:rsidRPr="000712C6">
        <w:rPr>
          <w:b/>
          <w:bCs/>
        </w:rPr>
        <w:t>Ethical Issues</w:t>
      </w:r>
    </w:p>
    <w:p w14:paraId="3178BD4C" w14:textId="6B482C05" w:rsidR="00EC0D8B" w:rsidRPr="000712C6" w:rsidRDefault="00844404" w:rsidP="000712C6">
      <w:pPr>
        <w:pStyle w:val="NormalWeb"/>
        <w:spacing w:before="0" w:beforeAutospacing="0" w:after="0" w:afterAutospacing="0" w:line="480" w:lineRule="auto"/>
        <w:ind w:firstLine="720"/>
      </w:pPr>
      <w:r w:rsidRPr="000712C6">
        <w:t>D</w:t>
      </w:r>
      <w:r w:rsidR="00292E06" w:rsidRPr="000712C6">
        <w:t xml:space="preserve">espite the several amendments made to the CFAA over the years, the CFAA is still riddled with numerous ethical issues. While the CFAA criminalizes all forms of hacking, </w:t>
      </w:r>
      <w:r w:rsidR="00292E06" w:rsidRPr="000712C6">
        <w:lastRenderedPageBreak/>
        <w:t>learning and conducting hack tests help</w:t>
      </w:r>
      <w:r w:rsidR="00C4130B" w:rsidRPr="000712C6">
        <w:t>s</w:t>
      </w:r>
      <w:r w:rsidR="00292E06" w:rsidRPr="000712C6">
        <w:t xml:space="preserve"> reveal critical software vulnerabilities to companies</w:t>
      </w:r>
      <w:r w:rsidR="00C4130B" w:rsidRPr="000712C6">
        <w:t>. I</w:t>
      </w:r>
      <w:r w:rsidR="00292E06" w:rsidRPr="000712C6">
        <w:t xml:space="preserve">f law-abiding citizens are discouraged or even prohibited from learning these skills, that leaves cybercriminals with </w:t>
      </w:r>
      <w:r w:rsidRPr="000712C6">
        <w:t>more</w:t>
      </w:r>
      <w:r w:rsidR="00292E06" w:rsidRPr="000712C6">
        <w:t xml:space="preserve"> vulnerabilities to exploit. While the </w:t>
      </w:r>
      <w:r w:rsidRPr="000712C6">
        <w:t>a</w:t>
      </w:r>
      <w:r w:rsidR="00292E06" w:rsidRPr="000712C6">
        <w:t>ct of outlawing hacking is a well-meaning, the CFAA as it currently stands restricts good Samaritans from providing valuable service</w:t>
      </w:r>
      <w:r w:rsidR="00C4130B" w:rsidRPr="000712C6">
        <w:t>s</w:t>
      </w:r>
      <w:r w:rsidR="00292E06" w:rsidRPr="000712C6">
        <w:t xml:space="preserve">, hindering proactive cybersecurity efforts. </w:t>
      </w:r>
      <w:r w:rsidRPr="000712C6">
        <w:t>The CFAA</w:t>
      </w:r>
      <w:r w:rsidR="00292E06" w:rsidRPr="000712C6">
        <w:t xml:space="preserve"> also prohibits cybersecurity professionals from engaging in defensive measures like back-hacking, which, although contentious,</w:t>
      </w:r>
      <w:r w:rsidR="00C4130B" w:rsidRPr="000712C6">
        <w:t xml:space="preserve"> </w:t>
      </w:r>
      <w:r w:rsidR="00292E06" w:rsidRPr="000712C6">
        <w:t xml:space="preserve">could enhance digital security. </w:t>
      </w:r>
    </w:p>
    <w:p w14:paraId="58F0EC05" w14:textId="5792BF69" w:rsidR="00292E06" w:rsidRPr="000712C6" w:rsidRDefault="00292E06" w:rsidP="000712C6">
      <w:pPr>
        <w:pStyle w:val="NormalWeb"/>
        <w:spacing w:before="0" w:beforeAutospacing="0" w:after="0" w:afterAutospacing="0" w:line="480" w:lineRule="auto"/>
        <w:ind w:firstLine="720"/>
      </w:pPr>
      <w:r w:rsidRPr="000712C6">
        <w:t xml:space="preserve">Critics also contend that the CFAA's broad language inadvertently criminalizes innocuous actions, placing well-meaning individuals at risk of </w:t>
      </w:r>
      <w:r w:rsidR="00844404" w:rsidRPr="000712C6">
        <w:t xml:space="preserve">unknowingly </w:t>
      </w:r>
      <w:r w:rsidRPr="000712C6">
        <w:t xml:space="preserve">violating </w:t>
      </w:r>
      <w:r w:rsidR="00EC0D8B" w:rsidRPr="000712C6">
        <w:t>the CFAA’s</w:t>
      </w:r>
      <w:r w:rsidRPr="000712C6">
        <w:t xml:space="preserve"> increasingly broad provisions and unjustly raising penalties (</w:t>
      </w:r>
      <w:proofErr w:type="spellStart"/>
      <w:r w:rsidRPr="000712C6">
        <w:t>Skibell</w:t>
      </w:r>
      <w:proofErr w:type="spellEnd"/>
      <w:r w:rsidRPr="000712C6">
        <w:t xml:space="preserve">, 2003). </w:t>
      </w:r>
      <w:r w:rsidR="00C4130B" w:rsidRPr="000712C6">
        <w:t xml:space="preserve">Critics also claim that </w:t>
      </w:r>
      <w:r w:rsidRPr="000712C6">
        <w:t>recent amendments over-criminalize minor computer crimes, as the original 1986 CFAA made a "core distinction between harmless trespass and more substantial intrusion" (</w:t>
      </w:r>
      <w:proofErr w:type="spellStart"/>
      <w:r w:rsidRPr="000712C6">
        <w:t>Skibell</w:t>
      </w:r>
      <w:proofErr w:type="spellEnd"/>
      <w:r w:rsidRPr="000712C6">
        <w:t xml:space="preserve">, 2003, p. 909). One </w:t>
      </w:r>
      <w:r w:rsidR="00844404" w:rsidRPr="000712C6">
        <w:t>example</w:t>
      </w:r>
      <w:r w:rsidRPr="000712C6">
        <w:t xml:space="preserve"> of this over-criminalization is that of Aaron Swartz, who committed suicide over an impending maximum sentence of $1 Million in federal fines and 35 years in prison </w:t>
      </w:r>
      <w:r w:rsidR="00C4130B" w:rsidRPr="000712C6">
        <w:t>over</w:t>
      </w:r>
      <w:r w:rsidRPr="000712C6">
        <w:t xml:space="preserve"> downloading academic articles </w:t>
      </w:r>
      <w:r w:rsidR="00C4130B" w:rsidRPr="000712C6">
        <w:t>off</w:t>
      </w:r>
      <w:r w:rsidRPr="000712C6">
        <w:t xml:space="preserve"> JSTOR</w:t>
      </w:r>
      <w:r w:rsidR="00C4130B" w:rsidRPr="000712C6">
        <w:t>’s</w:t>
      </w:r>
      <w:r w:rsidRPr="000712C6">
        <w:t xml:space="preserve"> database</w:t>
      </w:r>
      <w:r w:rsidR="00844404" w:rsidRPr="000712C6">
        <w:t xml:space="preserve">, </w:t>
      </w:r>
      <w:r w:rsidRPr="000712C6">
        <w:t>which Swartz had access to as a Harvard student (Swartz was being charged with two counts of wire fraud and eleven violations of the CFAA) (United States V. Swartz, 2011). While JSTOR dropped its initial charges, the D</w:t>
      </w:r>
      <w:r w:rsidR="00C4130B" w:rsidRPr="000712C6">
        <w:t xml:space="preserve">OJ </w:t>
      </w:r>
      <w:r w:rsidRPr="000712C6">
        <w:t xml:space="preserve">proceeded with the trial, resulting in </w:t>
      </w:r>
      <w:r w:rsidR="00C4130B" w:rsidRPr="000712C6">
        <w:t xml:space="preserve">the </w:t>
      </w:r>
      <w:r w:rsidRPr="000712C6">
        <w:t xml:space="preserve">legal pressure that led to Swartz </w:t>
      </w:r>
      <w:r w:rsidR="00C4130B" w:rsidRPr="000712C6">
        <w:t>commiting suicide over</w:t>
      </w:r>
      <w:r w:rsidRPr="000712C6">
        <w:t xml:space="preserve"> what many consider a minor violation.</w:t>
      </w:r>
    </w:p>
    <w:p w14:paraId="2D9B69BD" w14:textId="77777777" w:rsidR="00292E06" w:rsidRPr="000712C6" w:rsidRDefault="00292E06" w:rsidP="000712C6">
      <w:pPr>
        <w:pStyle w:val="NormalWeb"/>
        <w:spacing w:before="0" w:beforeAutospacing="0" w:after="0" w:afterAutospacing="0" w:line="480" w:lineRule="auto"/>
      </w:pPr>
      <w:r w:rsidRPr="000712C6">
        <w:t> </w:t>
      </w:r>
    </w:p>
    <w:p w14:paraId="3E343D0B" w14:textId="54B7F359" w:rsidR="00292E06" w:rsidRPr="000712C6" w:rsidRDefault="00292E06" w:rsidP="000712C6">
      <w:pPr>
        <w:pStyle w:val="NormalWeb"/>
        <w:spacing w:before="0" w:beforeAutospacing="0" w:after="0" w:afterAutospacing="0" w:line="480" w:lineRule="auto"/>
        <w:jc w:val="center"/>
      </w:pPr>
      <w:r w:rsidRPr="000712C6">
        <w:rPr>
          <w:rStyle w:val="Strong"/>
          <w:rFonts w:eastAsiaTheme="majorEastAsia"/>
        </w:rPr>
        <w:t>Conclusion</w:t>
      </w:r>
      <w:r w:rsidR="000226F7">
        <w:rPr>
          <w:rStyle w:val="Strong"/>
          <w:rFonts w:eastAsiaTheme="majorEastAsia"/>
        </w:rPr>
        <w:t>s Regarding the CFAA and U.S. Legislative Documentation</w:t>
      </w:r>
    </w:p>
    <w:p w14:paraId="3849A815" w14:textId="2FFF81BD" w:rsidR="00292E06" w:rsidRPr="000712C6" w:rsidRDefault="00292E06" w:rsidP="000712C6">
      <w:pPr>
        <w:pStyle w:val="NormalWeb"/>
        <w:spacing w:before="0" w:beforeAutospacing="0" w:after="0" w:afterAutospacing="0" w:line="480" w:lineRule="auto"/>
        <w:ind w:firstLine="720"/>
      </w:pPr>
      <w:r w:rsidRPr="000712C6">
        <w:t>After analyzing the CFAA, it becomes clear that while the legislation aims to provide a legal framework and protection against c</w:t>
      </w:r>
      <w:r w:rsidR="00844404" w:rsidRPr="000712C6">
        <w:t>ybercrime</w:t>
      </w:r>
      <w:r w:rsidRPr="000712C6">
        <w:t xml:space="preserve">, its effectiveness is hindered by its </w:t>
      </w:r>
      <w:r w:rsidRPr="000712C6">
        <w:lastRenderedPageBreak/>
        <w:t>ambiguous nature and broad language. These ambiguities, combined with the ethical concerns raised by CFAA critics</w:t>
      </w:r>
      <w:r w:rsidR="00C4130B" w:rsidRPr="000712C6">
        <w:t xml:space="preserve">, </w:t>
      </w:r>
      <w:proofErr w:type="gramStart"/>
      <w:r w:rsidRPr="000712C6">
        <w:t>emphasize</w:t>
      </w:r>
      <w:r w:rsidR="000226F7">
        <w:t>s</w:t>
      </w:r>
      <w:proofErr w:type="gramEnd"/>
      <w:r w:rsidRPr="000712C6">
        <w:t xml:space="preserve"> the need for amendments to current CFAA legislation. Amendment</w:t>
      </w:r>
      <w:r w:rsidR="000712C6" w:rsidRPr="000712C6">
        <w:t>s</w:t>
      </w:r>
      <w:r w:rsidRPr="000712C6">
        <w:t xml:space="preserve"> to the CFAA could allow it to better serve its intended purpose of combatting c</w:t>
      </w:r>
      <w:r w:rsidR="00844404" w:rsidRPr="000712C6">
        <w:t xml:space="preserve">ybercrime </w:t>
      </w:r>
      <w:r w:rsidRPr="000712C6">
        <w:t>while mitigating</w:t>
      </w:r>
      <w:r w:rsidR="000712C6" w:rsidRPr="000712C6">
        <w:t xml:space="preserve"> the</w:t>
      </w:r>
      <w:r w:rsidRPr="000712C6">
        <w:t xml:space="preserve"> unintended impacts on digital innovation, ethical hacking, and vulnerable populations.</w:t>
      </w:r>
    </w:p>
    <w:p w14:paraId="49863945" w14:textId="2C1FA7CB" w:rsidR="00292E06" w:rsidRPr="000712C6" w:rsidRDefault="00292E06" w:rsidP="000712C6">
      <w:pPr>
        <w:pStyle w:val="NormalWeb"/>
        <w:spacing w:before="0" w:beforeAutospacing="0" w:after="0" w:afterAutospacing="0" w:line="480" w:lineRule="auto"/>
        <w:ind w:firstLine="720"/>
      </w:pPr>
      <w:r w:rsidRPr="000712C6">
        <w:t xml:space="preserve">Although this policy analysis was insightful for the </w:t>
      </w:r>
      <w:r w:rsidR="00844404" w:rsidRPr="000712C6">
        <w:t>understanding the specifics</w:t>
      </w:r>
      <w:r w:rsidRPr="000712C6">
        <w:t xml:space="preserve"> of what th</w:t>
      </w:r>
      <w:r w:rsidR="000712C6" w:rsidRPr="000712C6">
        <w:t xml:space="preserve">e CFAA </w:t>
      </w:r>
      <w:r w:rsidRPr="000712C6">
        <w:t>legislates, this exercise did have broader implications on this author's understanding of U.S. legislative</w:t>
      </w:r>
      <w:r w:rsidR="000226F7">
        <w:t xml:space="preserve"> documentation</w:t>
      </w:r>
      <w:r w:rsidRPr="000712C6">
        <w:t xml:space="preserve"> processes and its inherent issues. It was surprising to learn that much of the CFAA focused on modifying existing laws in Title 18 rather than creating entirely new legislation, as this author previously assumed. By integrating c</w:t>
      </w:r>
      <w:r w:rsidR="00844404" w:rsidRPr="000712C6">
        <w:t xml:space="preserve">ybercrime </w:t>
      </w:r>
      <w:r w:rsidRPr="000712C6">
        <w:t xml:space="preserve">into broader Title 18 categories like fraud and abuse through these amendments, the CFAA ensured that it aligned smoothly with existing legal frameworks and remained relevant despite rapid technological advancements. However, this reliance on amendments also complicated the readability of the </w:t>
      </w:r>
      <w:r w:rsidR="000712C6" w:rsidRPr="000712C6">
        <w:t>CFAA</w:t>
      </w:r>
      <w:r w:rsidRPr="000712C6">
        <w:t xml:space="preserve">, impacting </w:t>
      </w:r>
      <w:r w:rsidR="000712C6" w:rsidRPr="000712C6">
        <w:t>its</w:t>
      </w:r>
      <w:r w:rsidRPr="000712C6">
        <w:t xml:space="preserve"> accessibility for those without formal legal training, </w:t>
      </w:r>
      <w:r w:rsidR="00844404" w:rsidRPr="000712C6">
        <w:t>necessitating</w:t>
      </w:r>
      <w:r w:rsidRPr="000712C6">
        <w:t xml:space="preserve"> them to depend on external </w:t>
      </w:r>
      <w:r w:rsidR="000712C6" w:rsidRPr="000712C6">
        <w:t>research.</w:t>
      </w:r>
    </w:p>
    <w:p w14:paraId="0D87CEC4" w14:textId="384D3811" w:rsidR="00292E06" w:rsidRPr="000712C6" w:rsidRDefault="00292E06" w:rsidP="000712C6">
      <w:pPr>
        <w:pStyle w:val="NormalWeb"/>
        <w:spacing w:before="0" w:beforeAutospacing="0" w:after="0" w:afterAutospacing="0" w:line="480" w:lineRule="auto"/>
        <w:ind w:firstLine="720"/>
      </w:pPr>
      <w:r w:rsidRPr="000712C6">
        <w:t xml:space="preserve">One of this author's biggest surprises </w:t>
      </w:r>
      <w:r w:rsidR="000712C6" w:rsidRPr="000712C6">
        <w:t>during this</w:t>
      </w:r>
      <w:r w:rsidRPr="000712C6">
        <w:t xml:space="preserve"> analysis was realizing how much external research needed to be done to fully understand the CFAA and its</w:t>
      </w:r>
      <w:r w:rsidR="00844404" w:rsidRPr="000712C6">
        <w:t xml:space="preserve"> </w:t>
      </w:r>
      <w:r w:rsidRPr="000712C6">
        <w:t xml:space="preserve">amendments, </w:t>
      </w:r>
      <w:r w:rsidR="000712C6" w:rsidRPr="000712C6">
        <w:t>which highlights</w:t>
      </w:r>
      <w:r w:rsidRPr="000712C6">
        <w:t xml:space="preserve"> a broader issue with governmental </w:t>
      </w:r>
      <w:r w:rsidR="000712C6" w:rsidRPr="000712C6">
        <w:t xml:space="preserve">legislative </w:t>
      </w:r>
      <w:r w:rsidRPr="000712C6">
        <w:t xml:space="preserve">transparency. The U.S. Congress policy page did not indicate that the CFAA had undergone revisions in 1994, 1996, 2001, 2002, and 2008, which this author only discovered through information provided by </w:t>
      </w:r>
      <w:r w:rsidR="000712C6" w:rsidRPr="000712C6">
        <w:t>NACDL</w:t>
      </w:r>
      <w:r w:rsidRPr="000712C6">
        <w:t xml:space="preserve"> </w:t>
      </w:r>
      <w:r w:rsidR="000712C6" w:rsidRPr="000712C6">
        <w:t>(2022)</w:t>
      </w:r>
      <w:r w:rsidRPr="000712C6">
        <w:t xml:space="preserve">. This discovery highlights </w:t>
      </w:r>
      <w:r w:rsidR="000712C6" w:rsidRPr="000712C6">
        <w:t>how challenging it is to</w:t>
      </w:r>
      <w:r w:rsidR="00F66B89">
        <w:t xml:space="preserve"> navigate</w:t>
      </w:r>
      <w:r w:rsidR="000712C6" w:rsidRPr="000712C6">
        <w:t xml:space="preserve"> </w:t>
      </w:r>
      <w:r w:rsidRPr="000712C6">
        <w:t>complex legislation and fully grasp the nuanced implications and current context of legislation like the CFAA.</w:t>
      </w:r>
      <w:r w:rsidR="000712C6" w:rsidRPr="000712C6">
        <w:t xml:space="preserve"> C</w:t>
      </w:r>
      <w:r w:rsidRPr="000712C6">
        <w:t xml:space="preserve">ritically, governmental bodies necessitating citizens without formal legal training to depend on external sources </w:t>
      </w:r>
      <w:r w:rsidRPr="000712C6">
        <w:lastRenderedPageBreak/>
        <w:t xml:space="preserve">undermines the principle of legal transparency and diminishes citizen engagement in </w:t>
      </w:r>
      <w:r w:rsidR="000712C6" w:rsidRPr="000712C6">
        <w:t xml:space="preserve">the </w:t>
      </w:r>
      <w:r w:rsidRPr="000712C6">
        <w:t>democratic processes.</w:t>
      </w:r>
    </w:p>
    <w:p w14:paraId="0C1AF156" w14:textId="4FBFE07A" w:rsidR="00292E06" w:rsidRPr="000712C6" w:rsidRDefault="00292E06" w:rsidP="000712C6">
      <w:pPr>
        <w:pStyle w:val="NormalWeb"/>
        <w:spacing w:before="0" w:beforeAutospacing="0" w:after="0" w:afterAutospacing="0" w:line="480" w:lineRule="auto"/>
        <w:ind w:firstLine="720"/>
      </w:pPr>
      <w:r w:rsidRPr="000712C6">
        <w:t xml:space="preserve">So, while integrating amendments into existing law helps maintain coherence and relevance, </w:t>
      </w:r>
      <w:r w:rsidR="000712C6" w:rsidRPr="000712C6">
        <w:t>this exercise</w:t>
      </w:r>
      <w:r w:rsidRPr="000712C6">
        <w:t xml:space="preserve"> </w:t>
      </w:r>
      <w:r w:rsidR="000712C6" w:rsidRPr="000712C6">
        <w:t>highlighted</w:t>
      </w:r>
      <w:r w:rsidRPr="000712C6">
        <w:t xml:space="preserve"> a clear need for greater transparency and accessibility in legislative documentation. Providing more transparent connections between laws and their amendments would empower all citizens, regardless of legal expertise, to better understand and engage with legislation that directly impacts them.</w:t>
      </w:r>
    </w:p>
    <w:p w14:paraId="6DD98BF9" w14:textId="77777777" w:rsidR="000712C6" w:rsidRPr="000712C6" w:rsidRDefault="000712C6" w:rsidP="000712C6">
      <w:pPr>
        <w:pStyle w:val="NormalWeb"/>
        <w:spacing w:before="0" w:beforeAutospacing="0" w:after="0" w:afterAutospacing="0" w:line="480" w:lineRule="auto"/>
      </w:pPr>
    </w:p>
    <w:p w14:paraId="01871D14" w14:textId="77777777" w:rsidR="000712C6" w:rsidRPr="000712C6" w:rsidRDefault="000712C6" w:rsidP="000712C6">
      <w:pPr>
        <w:pStyle w:val="NormalWeb"/>
        <w:spacing w:before="0" w:beforeAutospacing="0" w:after="0" w:afterAutospacing="0" w:line="480" w:lineRule="auto"/>
      </w:pPr>
    </w:p>
    <w:p w14:paraId="5A96DBE5" w14:textId="77777777" w:rsidR="000712C6" w:rsidRPr="000712C6" w:rsidRDefault="000712C6" w:rsidP="000712C6">
      <w:pPr>
        <w:pStyle w:val="NormalWeb"/>
        <w:spacing w:before="0" w:beforeAutospacing="0" w:after="0" w:afterAutospacing="0" w:line="480" w:lineRule="auto"/>
      </w:pPr>
    </w:p>
    <w:p w14:paraId="615A4F13" w14:textId="77777777" w:rsidR="000712C6" w:rsidRPr="000712C6" w:rsidRDefault="000712C6" w:rsidP="000712C6">
      <w:pPr>
        <w:pStyle w:val="NormalWeb"/>
        <w:spacing w:before="0" w:beforeAutospacing="0" w:after="0" w:afterAutospacing="0" w:line="480" w:lineRule="auto"/>
      </w:pPr>
    </w:p>
    <w:p w14:paraId="55DF4984" w14:textId="77777777" w:rsidR="000712C6" w:rsidRPr="000712C6" w:rsidRDefault="000712C6" w:rsidP="000712C6">
      <w:pPr>
        <w:pStyle w:val="NormalWeb"/>
        <w:spacing w:before="0" w:beforeAutospacing="0" w:after="0" w:afterAutospacing="0" w:line="480" w:lineRule="auto"/>
      </w:pPr>
    </w:p>
    <w:p w14:paraId="0BE736FD" w14:textId="77777777" w:rsidR="000712C6" w:rsidRDefault="000712C6" w:rsidP="000712C6">
      <w:pPr>
        <w:pStyle w:val="NormalWeb"/>
        <w:spacing w:before="0" w:beforeAutospacing="0" w:after="0" w:afterAutospacing="0" w:line="480" w:lineRule="auto"/>
        <w:jc w:val="center"/>
        <w:rPr>
          <w:b/>
          <w:bCs/>
        </w:rPr>
      </w:pPr>
    </w:p>
    <w:p w14:paraId="2B14959D" w14:textId="77777777" w:rsidR="000712C6" w:rsidRDefault="000712C6" w:rsidP="000712C6">
      <w:pPr>
        <w:pStyle w:val="NormalWeb"/>
        <w:spacing w:before="0" w:beforeAutospacing="0" w:after="0" w:afterAutospacing="0" w:line="480" w:lineRule="auto"/>
        <w:jc w:val="center"/>
        <w:rPr>
          <w:b/>
          <w:bCs/>
        </w:rPr>
      </w:pPr>
    </w:p>
    <w:p w14:paraId="0AB02401" w14:textId="77777777" w:rsidR="000712C6" w:rsidRDefault="000712C6" w:rsidP="000712C6">
      <w:pPr>
        <w:pStyle w:val="NormalWeb"/>
        <w:spacing w:before="0" w:beforeAutospacing="0" w:after="0" w:afterAutospacing="0" w:line="480" w:lineRule="auto"/>
        <w:jc w:val="center"/>
        <w:rPr>
          <w:b/>
          <w:bCs/>
        </w:rPr>
      </w:pPr>
    </w:p>
    <w:p w14:paraId="2113AC9C" w14:textId="77777777" w:rsidR="000712C6" w:rsidRDefault="000712C6" w:rsidP="000712C6">
      <w:pPr>
        <w:pStyle w:val="NormalWeb"/>
        <w:spacing w:before="0" w:beforeAutospacing="0" w:after="0" w:afterAutospacing="0" w:line="480" w:lineRule="auto"/>
        <w:jc w:val="center"/>
        <w:rPr>
          <w:b/>
          <w:bCs/>
        </w:rPr>
      </w:pPr>
    </w:p>
    <w:p w14:paraId="25740964" w14:textId="77777777" w:rsidR="000712C6" w:rsidRDefault="000712C6" w:rsidP="000712C6">
      <w:pPr>
        <w:pStyle w:val="NormalWeb"/>
        <w:spacing w:before="0" w:beforeAutospacing="0" w:after="0" w:afterAutospacing="0" w:line="480" w:lineRule="auto"/>
        <w:jc w:val="center"/>
        <w:rPr>
          <w:b/>
          <w:bCs/>
        </w:rPr>
      </w:pPr>
    </w:p>
    <w:p w14:paraId="13383B1B" w14:textId="77777777" w:rsidR="00F66B89" w:rsidRDefault="00F66B89" w:rsidP="000712C6">
      <w:pPr>
        <w:pStyle w:val="NormalWeb"/>
        <w:spacing w:before="0" w:beforeAutospacing="0" w:after="0" w:afterAutospacing="0" w:line="480" w:lineRule="auto"/>
        <w:jc w:val="center"/>
        <w:rPr>
          <w:b/>
          <w:bCs/>
        </w:rPr>
      </w:pPr>
    </w:p>
    <w:p w14:paraId="0AB589C9" w14:textId="77777777" w:rsidR="00F66B89" w:rsidRDefault="00F66B89" w:rsidP="000712C6">
      <w:pPr>
        <w:pStyle w:val="NormalWeb"/>
        <w:spacing w:before="0" w:beforeAutospacing="0" w:after="0" w:afterAutospacing="0" w:line="480" w:lineRule="auto"/>
        <w:jc w:val="center"/>
        <w:rPr>
          <w:b/>
          <w:bCs/>
        </w:rPr>
      </w:pPr>
    </w:p>
    <w:p w14:paraId="783D4F30" w14:textId="77777777" w:rsidR="00F66B89" w:rsidRDefault="00F66B89" w:rsidP="000712C6">
      <w:pPr>
        <w:pStyle w:val="NormalWeb"/>
        <w:spacing w:before="0" w:beforeAutospacing="0" w:after="0" w:afterAutospacing="0" w:line="480" w:lineRule="auto"/>
        <w:jc w:val="center"/>
        <w:rPr>
          <w:b/>
          <w:bCs/>
        </w:rPr>
      </w:pPr>
    </w:p>
    <w:p w14:paraId="0CAD3F89" w14:textId="77777777" w:rsidR="00F66B89" w:rsidRDefault="00F66B89" w:rsidP="000712C6">
      <w:pPr>
        <w:pStyle w:val="NormalWeb"/>
        <w:spacing w:before="0" w:beforeAutospacing="0" w:after="0" w:afterAutospacing="0" w:line="480" w:lineRule="auto"/>
        <w:jc w:val="center"/>
        <w:rPr>
          <w:b/>
          <w:bCs/>
        </w:rPr>
      </w:pPr>
    </w:p>
    <w:p w14:paraId="435432F6" w14:textId="77777777" w:rsidR="00F66B89" w:rsidRDefault="00F66B89" w:rsidP="000712C6">
      <w:pPr>
        <w:pStyle w:val="NormalWeb"/>
        <w:spacing w:before="0" w:beforeAutospacing="0" w:after="0" w:afterAutospacing="0" w:line="480" w:lineRule="auto"/>
        <w:jc w:val="center"/>
        <w:rPr>
          <w:b/>
          <w:bCs/>
        </w:rPr>
      </w:pPr>
    </w:p>
    <w:p w14:paraId="7701CABE" w14:textId="77777777" w:rsidR="000712C6" w:rsidRPr="000712C6" w:rsidRDefault="000712C6" w:rsidP="000712C6">
      <w:pPr>
        <w:pStyle w:val="NormalWeb"/>
        <w:spacing w:before="0" w:beforeAutospacing="0" w:after="0" w:afterAutospacing="0" w:line="480" w:lineRule="auto"/>
        <w:jc w:val="center"/>
        <w:rPr>
          <w:b/>
          <w:bCs/>
        </w:rPr>
      </w:pPr>
    </w:p>
    <w:p w14:paraId="554B159A" w14:textId="78D180C8" w:rsidR="000712C6" w:rsidRPr="000712C6" w:rsidRDefault="000712C6" w:rsidP="000712C6">
      <w:pPr>
        <w:pStyle w:val="NormalWeb"/>
        <w:spacing w:before="0" w:beforeAutospacing="0" w:after="0" w:afterAutospacing="0" w:line="480" w:lineRule="auto"/>
        <w:jc w:val="center"/>
        <w:rPr>
          <w:b/>
          <w:bCs/>
        </w:rPr>
      </w:pPr>
      <w:r w:rsidRPr="000712C6">
        <w:rPr>
          <w:b/>
          <w:bCs/>
        </w:rPr>
        <w:lastRenderedPageBreak/>
        <w:t>References</w:t>
      </w:r>
    </w:p>
    <w:p w14:paraId="64143FEA" w14:textId="4D8B344E" w:rsidR="000712C6" w:rsidRPr="000712C6" w:rsidRDefault="000712C6" w:rsidP="000712C6">
      <w:pPr>
        <w:pStyle w:val="NormalWeb"/>
        <w:spacing w:before="0" w:beforeAutospacing="0" w:after="0" w:afterAutospacing="0" w:line="480" w:lineRule="auto"/>
        <w:ind w:left="720" w:hanging="720"/>
      </w:pPr>
      <w:r w:rsidRPr="000712C6">
        <w:t xml:space="preserve">NACDL. (2022, July 14). </w:t>
      </w:r>
      <w:r w:rsidRPr="000712C6">
        <w:rPr>
          <w:i/>
          <w:iCs/>
        </w:rPr>
        <w:t>CFAA Background.</w:t>
      </w:r>
      <w:r w:rsidRPr="000712C6">
        <w:t xml:space="preserve"> The National Association of Criminal Defense Lawyers. </w:t>
      </w:r>
      <w:hyperlink r:id="rId6" w:history="1">
        <w:r w:rsidRPr="000712C6">
          <w:rPr>
            <w:rStyle w:val="Hyperlink"/>
            <w:rFonts w:eastAsiaTheme="majorEastAsia"/>
          </w:rPr>
          <w:t>https://www.nacdl.org/Content/CFAABackground</w:t>
        </w:r>
      </w:hyperlink>
    </w:p>
    <w:p w14:paraId="77E4D231" w14:textId="77777777" w:rsidR="000712C6" w:rsidRPr="000712C6" w:rsidRDefault="000712C6" w:rsidP="000712C6">
      <w:pPr>
        <w:pStyle w:val="NormalWeb"/>
        <w:spacing w:before="0" w:beforeAutospacing="0" w:after="0" w:afterAutospacing="0" w:line="480" w:lineRule="auto"/>
        <w:ind w:left="720" w:hanging="720"/>
      </w:pPr>
      <w:r w:rsidRPr="000712C6">
        <w:t xml:space="preserve">Quinn, Michael J. (2020). </w:t>
      </w:r>
      <w:r w:rsidRPr="000712C6">
        <w:t>Ethics for the Information Age, 8th Ed. Pearson Education, Inc.: NJ. ISBN: 978-0-13 -521772-6.</w:t>
      </w:r>
    </w:p>
    <w:p w14:paraId="20608801" w14:textId="77777777" w:rsidR="000712C6" w:rsidRPr="000712C6" w:rsidRDefault="000712C6" w:rsidP="000712C6">
      <w:pPr>
        <w:pStyle w:val="NormalWeb"/>
        <w:spacing w:before="0" w:beforeAutospacing="0" w:after="0" w:afterAutospacing="0" w:line="480" w:lineRule="auto"/>
        <w:ind w:left="720" w:hanging="720"/>
      </w:pPr>
      <w:proofErr w:type="spellStart"/>
      <w:r w:rsidRPr="000712C6">
        <w:t>Skibell</w:t>
      </w:r>
      <w:proofErr w:type="spellEnd"/>
      <w:r w:rsidRPr="000712C6">
        <w:t xml:space="preserve">, </w:t>
      </w:r>
      <w:proofErr w:type="gramStart"/>
      <w:r w:rsidRPr="000712C6">
        <w:t>R.(</w:t>
      </w:r>
      <w:proofErr w:type="gramEnd"/>
      <w:r w:rsidRPr="000712C6">
        <w:t xml:space="preserve">2003). Cybercrimes &amp; Misdemeanors: A Reevaluation of the Computer Fraud and Abuse Act. </w:t>
      </w:r>
      <w:r w:rsidRPr="000712C6">
        <w:rPr>
          <w:i/>
          <w:iCs/>
        </w:rPr>
        <w:t>Berkeley Technology Law Journal. 18</w:t>
      </w:r>
      <w:r w:rsidRPr="000712C6">
        <w:t xml:space="preserve">(3). 909 - 944. </w:t>
      </w:r>
      <w:hyperlink r:id="rId7" w:history="1">
        <w:r w:rsidRPr="000712C6">
          <w:rPr>
            <w:rStyle w:val="Hyperlink"/>
            <w:rFonts w:eastAsiaTheme="majorEastAsia"/>
          </w:rPr>
          <w:t>https://www.jstor.org/stable/24116861</w:t>
        </w:r>
      </w:hyperlink>
    </w:p>
    <w:p w14:paraId="324E5EEA" w14:textId="77777777" w:rsidR="000712C6" w:rsidRPr="000712C6" w:rsidRDefault="000712C6" w:rsidP="000712C6">
      <w:pPr>
        <w:pStyle w:val="NormalWeb"/>
        <w:spacing w:before="0" w:beforeAutospacing="0" w:after="0" w:afterAutospacing="0" w:line="480" w:lineRule="auto"/>
        <w:ind w:left="720" w:hanging="720"/>
      </w:pPr>
      <w:r w:rsidRPr="000712C6">
        <w:t xml:space="preserve">The Computer Fraud and Abuse Act, H.R. 4718, 99th congress (1986). </w:t>
      </w:r>
      <w:hyperlink r:id="rId8" w:history="1">
        <w:r w:rsidRPr="000712C6">
          <w:rPr>
            <w:rStyle w:val="Hyperlink"/>
            <w:rFonts w:eastAsiaTheme="majorEastAsia"/>
          </w:rPr>
          <w:t>https://www.congress.gov/bill/99th-congress/house-bill/4718</w:t>
        </w:r>
      </w:hyperlink>
    </w:p>
    <w:p w14:paraId="039BF49A" w14:textId="77777777" w:rsidR="000712C6" w:rsidRPr="000712C6" w:rsidRDefault="000712C6" w:rsidP="000712C6">
      <w:pPr>
        <w:pStyle w:val="NormalWeb"/>
        <w:spacing w:before="0" w:beforeAutospacing="0" w:after="0" w:afterAutospacing="0" w:line="480" w:lineRule="auto"/>
        <w:ind w:left="720" w:hanging="720"/>
      </w:pPr>
      <w:r w:rsidRPr="000712C6">
        <w:t xml:space="preserve">The Economic Espionage Act, H.R. 3723, 104th congress (1996). </w:t>
      </w:r>
      <w:hyperlink r:id="rId9" w:history="1">
        <w:r w:rsidRPr="000712C6">
          <w:rPr>
            <w:rStyle w:val="Hyperlink"/>
            <w:rFonts w:eastAsiaTheme="majorEastAsia"/>
          </w:rPr>
          <w:t>https://www.congress.gov/bill/104th-congress/house-bill/3723</w:t>
        </w:r>
      </w:hyperlink>
    </w:p>
    <w:p w14:paraId="11037743" w14:textId="77777777" w:rsidR="000712C6" w:rsidRPr="000712C6" w:rsidRDefault="000712C6" w:rsidP="000712C6">
      <w:pPr>
        <w:pStyle w:val="NormalWeb"/>
        <w:spacing w:before="0" w:beforeAutospacing="0" w:after="0" w:afterAutospacing="0" w:line="480" w:lineRule="auto"/>
        <w:ind w:left="720" w:hanging="720"/>
      </w:pPr>
      <w:r w:rsidRPr="000712C6">
        <w:rPr>
          <w:color w:val="000000"/>
        </w:rPr>
        <w:t xml:space="preserve">The Identity Theft Enforcement and Restitution Act, H.R. 6060, 110th congress (2008). </w:t>
      </w:r>
      <w:hyperlink r:id="rId10" w:history="1">
        <w:r w:rsidRPr="000712C6">
          <w:rPr>
            <w:rStyle w:val="Hyperlink"/>
            <w:rFonts w:eastAsiaTheme="majorEastAsia"/>
          </w:rPr>
          <w:t>https://www.congress.gov/bill/110th-congress/house-bill/6060</w:t>
        </w:r>
      </w:hyperlink>
    </w:p>
    <w:p w14:paraId="4D030B79" w14:textId="77777777" w:rsidR="000712C6" w:rsidRPr="000712C6" w:rsidRDefault="000712C6" w:rsidP="000712C6">
      <w:pPr>
        <w:pStyle w:val="NormalWeb"/>
        <w:spacing w:before="0" w:beforeAutospacing="0" w:after="0" w:afterAutospacing="0" w:line="480" w:lineRule="auto"/>
        <w:ind w:left="720" w:hanging="720"/>
      </w:pPr>
      <w:r w:rsidRPr="000712C6">
        <w:t xml:space="preserve">The USA PATRIOT Act, H.R. 3162, 107th congress (2001). </w:t>
      </w:r>
      <w:hyperlink r:id="rId11" w:history="1">
        <w:r w:rsidRPr="000712C6">
          <w:rPr>
            <w:rStyle w:val="Hyperlink"/>
            <w:rFonts w:eastAsiaTheme="majorEastAsia"/>
          </w:rPr>
          <w:t>https://www.congress.gov/bill/107th-congress/house-bill/3162</w:t>
        </w:r>
      </w:hyperlink>
    </w:p>
    <w:p w14:paraId="08DBFB66" w14:textId="77777777" w:rsidR="000712C6" w:rsidRPr="000712C6" w:rsidRDefault="000712C6" w:rsidP="000712C6">
      <w:pPr>
        <w:pStyle w:val="NormalWeb"/>
        <w:spacing w:before="0" w:beforeAutospacing="0" w:after="0" w:afterAutospacing="0" w:line="480" w:lineRule="auto"/>
        <w:ind w:left="720" w:hanging="720"/>
      </w:pPr>
      <w:r w:rsidRPr="000712C6">
        <w:rPr>
          <w:i/>
          <w:iCs/>
          <w:color w:val="2E2E2E"/>
        </w:rPr>
        <w:t xml:space="preserve">United States of America v. Aaron Swartz, </w:t>
      </w:r>
      <w:r w:rsidRPr="000712C6">
        <w:t xml:space="preserve">1:11-cr-10260, D. Mass. (2011). </w:t>
      </w:r>
    </w:p>
    <w:p w14:paraId="63A87575" w14:textId="77777777" w:rsidR="000712C6" w:rsidRPr="000712C6" w:rsidRDefault="000712C6" w:rsidP="000712C6">
      <w:pPr>
        <w:pStyle w:val="NormalWeb"/>
        <w:spacing w:before="0" w:beforeAutospacing="0" w:after="0" w:afterAutospacing="0" w:line="480" w:lineRule="auto"/>
      </w:pPr>
    </w:p>
    <w:p w14:paraId="00A9255F" w14:textId="77777777" w:rsidR="00292E06" w:rsidRPr="000712C6" w:rsidRDefault="00292E06" w:rsidP="000712C6">
      <w:pPr>
        <w:pStyle w:val="NormalWeb"/>
        <w:spacing w:before="0" w:beforeAutospacing="0" w:after="0" w:afterAutospacing="0" w:line="480" w:lineRule="auto"/>
      </w:pPr>
      <w:r w:rsidRPr="000712C6">
        <w:t> </w:t>
      </w:r>
    </w:p>
    <w:p w14:paraId="740B58AB" w14:textId="77777777" w:rsidR="00292E06" w:rsidRPr="000712C6" w:rsidRDefault="00292E06" w:rsidP="000712C6">
      <w:pPr>
        <w:pStyle w:val="NormalWeb"/>
        <w:spacing w:before="0" w:beforeAutospacing="0" w:after="0" w:afterAutospacing="0" w:line="480" w:lineRule="auto"/>
      </w:pPr>
      <w:r w:rsidRPr="000712C6">
        <w:t> </w:t>
      </w:r>
    </w:p>
    <w:p w14:paraId="725589F0" w14:textId="77777777" w:rsidR="00292E06" w:rsidRPr="000712C6" w:rsidRDefault="00292E06" w:rsidP="000712C6">
      <w:pPr>
        <w:pStyle w:val="NormalWeb"/>
        <w:spacing w:before="0" w:beforeAutospacing="0" w:after="0" w:afterAutospacing="0" w:line="480" w:lineRule="auto"/>
      </w:pPr>
      <w:r w:rsidRPr="000712C6">
        <w:t> </w:t>
      </w:r>
    </w:p>
    <w:p w14:paraId="6FB5C60E" w14:textId="6EF2907D" w:rsidR="00292E06" w:rsidRPr="000712C6" w:rsidRDefault="00292E06" w:rsidP="00B548DA">
      <w:pPr>
        <w:pStyle w:val="NormalWeb"/>
        <w:spacing w:before="0" w:beforeAutospacing="0" w:after="0" w:afterAutospacing="0" w:line="480" w:lineRule="auto"/>
      </w:pPr>
    </w:p>
    <w:p w14:paraId="41C3623D" w14:textId="77777777" w:rsidR="001C3244" w:rsidRPr="000712C6" w:rsidRDefault="001C3244" w:rsidP="000712C6">
      <w:pPr>
        <w:spacing w:line="480" w:lineRule="auto"/>
        <w:rPr>
          <w:rFonts w:ascii="Times New Roman" w:hAnsi="Times New Roman" w:cs="Times New Roman"/>
          <w:sz w:val="24"/>
          <w:szCs w:val="24"/>
        </w:rPr>
      </w:pPr>
    </w:p>
    <w:sectPr w:rsidR="001C3244" w:rsidRPr="000712C6">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4D5185" w14:textId="77777777" w:rsidR="000226F7" w:rsidRDefault="000226F7" w:rsidP="000226F7">
      <w:pPr>
        <w:spacing w:after="0" w:line="240" w:lineRule="auto"/>
      </w:pPr>
      <w:r>
        <w:separator/>
      </w:r>
    </w:p>
  </w:endnote>
  <w:endnote w:type="continuationSeparator" w:id="0">
    <w:p w14:paraId="0EBB9B26" w14:textId="77777777" w:rsidR="000226F7" w:rsidRDefault="000226F7" w:rsidP="00022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0E6615" w14:textId="77777777" w:rsidR="000226F7" w:rsidRDefault="000226F7" w:rsidP="000226F7">
      <w:pPr>
        <w:spacing w:after="0" w:line="240" w:lineRule="auto"/>
      </w:pPr>
      <w:r>
        <w:separator/>
      </w:r>
    </w:p>
  </w:footnote>
  <w:footnote w:type="continuationSeparator" w:id="0">
    <w:p w14:paraId="468B93EF" w14:textId="77777777" w:rsidR="000226F7" w:rsidRDefault="000226F7" w:rsidP="00022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777219979"/>
      <w:docPartObj>
        <w:docPartGallery w:val="Page Numbers (Top of Page)"/>
        <w:docPartUnique/>
      </w:docPartObj>
    </w:sdtPr>
    <w:sdtEndPr>
      <w:rPr>
        <w:noProof/>
      </w:rPr>
    </w:sdtEndPr>
    <w:sdtContent>
      <w:p w14:paraId="18FD27F5" w14:textId="6E468DE6" w:rsidR="000226F7" w:rsidRPr="000226F7" w:rsidRDefault="000226F7">
        <w:pPr>
          <w:pStyle w:val="Header"/>
          <w:jc w:val="right"/>
          <w:rPr>
            <w:rFonts w:ascii="Times New Roman" w:hAnsi="Times New Roman" w:cs="Times New Roman"/>
            <w:sz w:val="24"/>
            <w:szCs w:val="24"/>
          </w:rPr>
        </w:pPr>
        <w:r w:rsidRPr="000226F7">
          <w:rPr>
            <w:rFonts w:ascii="Times New Roman" w:hAnsi="Times New Roman" w:cs="Times New Roman"/>
            <w:sz w:val="24"/>
            <w:szCs w:val="24"/>
          </w:rPr>
          <w:fldChar w:fldCharType="begin"/>
        </w:r>
        <w:r w:rsidRPr="000226F7">
          <w:rPr>
            <w:rFonts w:ascii="Times New Roman" w:hAnsi="Times New Roman" w:cs="Times New Roman"/>
            <w:sz w:val="24"/>
            <w:szCs w:val="24"/>
          </w:rPr>
          <w:instrText xml:space="preserve"> PAGE   \* MERGEFORMAT </w:instrText>
        </w:r>
        <w:r w:rsidRPr="000226F7">
          <w:rPr>
            <w:rFonts w:ascii="Times New Roman" w:hAnsi="Times New Roman" w:cs="Times New Roman"/>
            <w:sz w:val="24"/>
            <w:szCs w:val="24"/>
          </w:rPr>
          <w:fldChar w:fldCharType="separate"/>
        </w:r>
        <w:r w:rsidRPr="000226F7">
          <w:rPr>
            <w:rFonts w:ascii="Times New Roman" w:hAnsi="Times New Roman" w:cs="Times New Roman"/>
            <w:noProof/>
            <w:sz w:val="24"/>
            <w:szCs w:val="24"/>
          </w:rPr>
          <w:t>2</w:t>
        </w:r>
        <w:r w:rsidRPr="000226F7">
          <w:rPr>
            <w:rFonts w:ascii="Times New Roman" w:hAnsi="Times New Roman" w:cs="Times New Roman"/>
            <w:noProof/>
            <w:sz w:val="24"/>
            <w:szCs w:val="24"/>
          </w:rPr>
          <w:fldChar w:fldCharType="end"/>
        </w:r>
      </w:p>
    </w:sdtContent>
  </w:sdt>
  <w:p w14:paraId="3304FCEF" w14:textId="77777777" w:rsidR="000226F7" w:rsidRPr="000226F7" w:rsidRDefault="000226F7">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970"/>
    <w:rsid w:val="00001A47"/>
    <w:rsid w:val="000226F7"/>
    <w:rsid w:val="00032E5F"/>
    <w:rsid w:val="00036B0E"/>
    <w:rsid w:val="000402D2"/>
    <w:rsid w:val="000460D5"/>
    <w:rsid w:val="00057F3D"/>
    <w:rsid w:val="000712C6"/>
    <w:rsid w:val="00082CA7"/>
    <w:rsid w:val="00084281"/>
    <w:rsid w:val="00097FD0"/>
    <w:rsid w:val="000B16B4"/>
    <w:rsid w:val="000C3E6A"/>
    <w:rsid w:val="000E1859"/>
    <w:rsid w:val="000E54A6"/>
    <w:rsid w:val="000F2455"/>
    <w:rsid w:val="000F4AA0"/>
    <w:rsid w:val="0011339B"/>
    <w:rsid w:val="00150E2A"/>
    <w:rsid w:val="001510E3"/>
    <w:rsid w:val="00153DC9"/>
    <w:rsid w:val="0015446B"/>
    <w:rsid w:val="00181D29"/>
    <w:rsid w:val="00186884"/>
    <w:rsid w:val="001A0176"/>
    <w:rsid w:val="001B2908"/>
    <w:rsid w:val="001C10F5"/>
    <w:rsid w:val="001C3244"/>
    <w:rsid w:val="001C6AC7"/>
    <w:rsid w:val="001E5B72"/>
    <w:rsid w:val="001E5C42"/>
    <w:rsid w:val="001F440C"/>
    <w:rsid w:val="002058FD"/>
    <w:rsid w:val="002074BB"/>
    <w:rsid w:val="00222922"/>
    <w:rsid w:val="002242ED"/>
    <w:rsid w:val="0023302E"/>
    <w:rsid w:val="00234904"/>
    <w:rsid w:val="00245861"/>
    <w:rsid w:val="002579A4"/>
    <w:rsid w:val="00290702"/>
    <w:rsid w:val="00292E06"/>
    <w:rsid w:val="00294B3F"/>
    <w:rsid w:val="00294CB6"/>
    <w:rsid w:val="002965F5"/>
    <w:rsid w:val="002E0337"/>
    <w:rsid w:val="002E6A48"/>
    <w:rsid w:val="002F6C25"/>
    <w:rsid w:val="00300A85"/>
    <w:rsid w:val="0030195C"/>
    <w:rsid w:val="003042D6"/>
    <w:rsid w:val="0030672F"/>
    <w:rsid w:val="00320F64"/>
    <w:rsid w:val="0034781D"/>
    <w:rsid w:val="003676F2"/>
    <w:rsid w:val="003722A8"/>
    <w:rsid w:val="00372E41"/>
    <w:rsid w:val="00377440"/>
    <w:rsid w:val="00387343"/>
    <w:rsid w:val="00392D99"/>
    <w:rsid w:val="003C7409"/>
    <w:rsid w:val="004031A8"/>
    <w:rsid w:val="0040477D"/>
    <w:rsid w:val="004124F3"/>
    <w:rsid w:val="00423A63"/>
    <w:rsid w:val="00431D4A"/>
    <w:rsid w:val="0047077F"/>
    <w:rsid w:val="00473443"/>
    <w:rsid w:val="004A09DA"/>
    <w:rsid w:val="004A7305"/>
    <w:rsid w:val="004B0C18"/>
    <w:rsid w:val="004D2607"/>
    <w:rsid w:val="004E37B4"/>
    <w:rsid w:val="004F4EC4"/>
    <w:rsid w:val="004F5E9E"/>
    <w:rsid w:val="00513158"/>
    <w:rsid w:val="00550D65"/>
    <w:rsid w:val="005544F1"/>
    <w:rsid w:val="005608B8"/>
    <w:rsid w:val="00565380"/>
    <w:rsid w:val="00572DB4"/>
    <w:rsid w:val="00575F58"/>
    <w:rsid w:val="00596350"/>
    <w:rsid w:val="005A3E5D"/>
    <w:rsid w:val="005A5890"/>
    <w:rsid w:val="005B6EB9"/>
    <w:rsid w:val="005E57F4"/>
    <w:rsid w:val="005F658C"/>
    <w:rsid w:val="005F7A9D"/>
    <w:rsid w:val="006001F8"/>
    <w:rsid w:val="00613E8F"/>
    <w:rsid w:val="006178DA"/>
    <w:rsid w:val="00632014"/>
    <w:rsid w:val="00640845"/>
    <w:rsid w:val="00641600"/>
    <w:rsid w:val="00657560"/>
    <w:rsid w:val="006664F2"/>
    <w:rsid w:val="00677F9B"/>
    <w:rsid w:val="00682177"/>
    <w:rsid w:val="006A4592"/>
    <w:rsid w:val="006B084E"/>
    <w:rsid w:val="006B13CB"/>
    <w:rsid w:val="00702F08"/>
    <w:rsid w:val="0070501A"/>
    <w:rsid w:val="00722CE1"/>
    <w:rsid w:val="00743AD7"/>
    <w:rsid w:val="00771489"/>
    <w:rsid w:val="007763DE"/>
    <w:rsid w:val="007837A3"/>
    <w:rsid w:val="007A0C75"/>
    <w:rsid w:val="007B3CAC"/>
    <w:rsid w:val="007B4907"/>
    <w:rsid w:val="007C5F14"/>
    <w:rsid w:val="007D3165"/>
    <w:rsid w:val="008037F5"/>
    <w:rsid w:val="00827123"/>
    <w:rsid w:val="0083517A"/>
    <w:rsid w:val="00840E5A"/>
    <w:rsid w:val="008425A0"/>
    <w:rsid w:val="00844404"/>
    <w:rsid w:val="008446CE"/>
    <w:rsid w:val="00845825"/>
    <w:rsid w:val="0086121B"/>
    <w:rsid w:val="00861448"/>
    <w:rsid w:val="00865276"/>
    <w:rsid w:val="008749AB"/>
    <w:rsid w:val="00876F8C"/>
    <w:rsid w:val="008A5B49"/>
    <w:rsid w:val="008A5C0B"/>
    <w:rsid w:val="008B20F8"/>
    <w:rsid w:val="008B429F"/>
    <w:rsid w:val="008C0D55"/>
    <w:rsid w:val="008C5F95"/>
    <w:rsid w:val="008D0C0E"/>
    <w:rsid w:val="008E3BAF"/>
    <w:rsid w:val="008F0F3B"/>
    <w:rsid w:val="008F3825"/>
    <w:rsid w:val="008F5FFD"/>
    <w:rsid w:val="00916C04"/>
    <w:rsid w:val="00924434"/>
    <w:rsid w:val="00937F88"/>
    <w:rsid w:val="009452BB"/>
    <w:rsid w:val="00946D0A"/>
    <w:rsid w:val="00954738"/>
    <w:rsid w:val="00995C5F"/>
    <w:rsid w:val="00997035"/>
    <w:rsid w:val="009A5970"/>
    <w:rsid w:val="009B6211"/>
    <w:rsid w:val="009C034A"/>
    <w:rsid w:val="009E0624"/>
    <w:rsid w:val="009F2366"/>
    <w:rsid w:val="009F4F5C"/>
    <w:rsid w:val="009F6F7B"/>
    <w:rsid w:val="00A009F9"/>
    <w:rsid w:val="00A01C9D"/>
    <w:rsid w:val="00A06617"/>
    <w:rsid w:val="00A138F2"/>
    <w:rsid w:val="00A20F90"/>
    <w:rsid w:val="00A372AE"/>
    <w:rsid w:val="00A84B88"/>
    <w:rsid w:val="00AA029F"/>
    <w:rsid w:val="00AB626F"/>
    <w:rsid w:val="00AC2EB7"/>
    <w:rsid w:val="00AC4129"/>
    <w:rsid w:val="00AD5D2E"/>
    <w:rsid w:val="00AE544D"/>
    <w:rsid w:val="00AE5B0C"/>
    <w:rsid w:val="00AE7A51"/>
    <w:rsid w:val="00AF4D76"/>
    <w:rsid w:val="00AF5A25"/>
    <w:rsid w:val="00B07563"/>
    <w:rsid w:val="00B3140E"/>
    <w:rsid w:val="00B34B7C"/>
    <w:rsid w:val="00B548DA"/>
    <w:rsid w:val="00B622C8"/>
    <w:rsid w:val="00B62393"/>
    <w:rsid w:val="00B72A5C"/>
    <w:rsid w:val="00B77A2D"/>
    <w:rsid w:val="00B869CC"/>
    <w:rsid w:val="00BA45D4"/>
    <w:rsid w:val="00BB4971"/>
    <w:rsid w:val="00BC10BD"/>
    <w:rsid w:val="00BC3F4E"/>
    <w:rsid w:val="00BC6E52"/>
    <w:rsid w:val="00BC72AC"/>
    <w:rsid w:val="00BE27C1"/>
    <w:rsid w:val="00BF4F19"/>
    <w:rsid w:val="00C25069"/>
    <w:rsid w:val="00C274E4"/>
    <w:rsid w:val="00C375B2"/>
    <w:rsid w:val="00C4130B"/>
    <w:rsid w:val="00C90F0A"/>
    <w:rsid w:val="00CA2810"/>
    <w:rsid w:val="00CA3675"/>
    <w:rsid w:val="00CC5FD0"/>
    <w:rsid w:val="00CD0950"/>
    <w:rsid w:val="00CD1EBA"/>
    <w:rsid w:val="00CE3F87"/>
    <w:rsid w:val="00CF41D6"/>
    <w:rsid w:val="00D1093D"/>
    <w:rsid w:val="00D11AA5"/>
    <w:rsid w:val="00D14AE9"/>
    <w:rsid w:val="00D176BD"/>
    <w:rsid w:val="00D17719"/>
    <w:rsid w:val="00D2132B"/>
    <w:rsid w:val="00D54A32"/>
    <w:rsid w:val="00D60B03"/>
    <w:rsid w:val="00D63AA0"/>
    <w:rsid w:val="00D876C3"/>
    <w:rsid w:val="00DB3E22"/>
    <w:rsid w:val="00DC5E22"/>
    <w:rsid w:val="00DD0022"/>
    <w:rsid w:val="00DE47B9"/>
    <w:rsid w:val="00DE74DA"/>
    <w:rsid w:val="00DF2BDB"/>
    <w:rsid w:val="00E07BFF"/>
    <w:rsid w:val="00E444A5"/>
    <w:rsid w:val="00E732D7"/>
    <w:rsid w:val="00E747B2"/>
    <w:rsid w:val="00E75D2D"/>
    <w:rsid w:val="00E76064"/>
    <w:rsid w:val="00E80ECE"/>
    <w:rsid w:val="00E83558"/>
    <w:rsid w:val="00E84186"/>
    <w:rsid w:val="00E84B02"/>
    <w:rsid w:val="00E953F4"/>
    <w:rsid w:val="00E96294"/>
    <w:rsid w:val="00EA5AD2"/>
    <w:rsid w:val="00EC0D8B"/>
    <w:rsid w:val="00EC211F"/>
    <w:rsid w:val="00EC2E25"/>
    <w:rsid w:val="00EE062F"/>
    <w:rsid w:val="00EF1FBF"/>
    <w:rsid w:val="00EF75F0"/>
    <w:rsid w:val="00F069E8"/>
    <w:rsid w:val="00F22F24"/>
    <w:rsid w:val="00F35C8C"/>
    <w:rsid w:val="00F603E2"/>
    <w:rsid w:val="00F66848"/>
    <w:rsid w:val="00F66B89"/>
    <w:rsid w:val="00F75B5C"/>
    <w:rsid w:val="00F83657"/>
    <w:rsid w:val="00F839E9"/>
    <w:rsid w:val="00F84B21"/>
    <w:rsid w:val="00F85425"/>
    <w:rsid w:val="00F938EE"/>
    <w:rsid w:val="00FB0586"/>
    <w:rsid w:val="00FD11E5"/>
    <w:rsid w:val="00FE20D5"/>
    <w:rsid w:val="00FE7F88"/>
    <w:rsid w:val="00FF1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B86A8"/>
  <w15:chartTrackingRefBased/>
  <w15:docId w15:val="{23B46947-C1C1-45D9-93B8-85E8AB535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9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9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9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9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9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9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9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9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9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9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9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9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9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9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9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9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9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970"/>
    <w:rPr>
      <w:rFonts w:eastAsiaTheme="majorEastAsia" w:cstheme="majorBidi"/>
      <w:color w:val="272727" w:themeColor="text1" w:themeTint="D8"/>
    </w:rPr>
  </w:style>
  <w:style w:type="paragraph" w:styleId="Title">
    <w:name w:val="Title"/>
    <w:basedOn w:val="Normal"/>
    <w:next w:val="Normal"/>
    <w:link w:val="TitleChar"/>
    <w:uiPriority w:val="10"/>
    <w:qFormat/>
    <w:rsid w:val="009A59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9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9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9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970"/>
    <w:pPr>
      <w:spacing w:before="160"/>
      <w:jc w:val="center"/>
    </w:pPr>
    <w:rPr>
      <w:i/>
      <w:iCs/>
      <w:color w:val="404040" w:themeColor="text1" w:themeTint="BF"/>
    </w:rPr>
  </w:style>
  <w:style w:type="character" w:customStyle="1" w:styleId="QuoteChar">
    <w:name w:val="Quote Char"/>
    <w:basedOn w:val="DefaultParagraphFont"/>
    <w:link w:val="Quote"/>
    <w:uiPriority w:val="29"/>
    <w:rsid w:val="009A5970"/>
    <w:rPr>
      <w:i/>
      <w:iCs/>
      <w:color w:val="404040" w:themeColor="text1" w:themeTint="BF"/>
    </w:rPr>
  </w:style>
  <w:style w:type="paragraph" w:styleId="ListParagraph">
    <w:name w:val="List Paragraph"/>
    <w:basedOn w:val="Normal"/>
    <w:uiPriority w:val="34"/>
    <w:qFormat/>
    <w:rsid w:val="009A5970"/>
    <w:pPr>
      <w:ind w:left="720"/>
      <w:contextualSpacing/>
    </w:pPr>
  </w:style>
  <w:style w:type="character" w:styleId="IntenseEmphasis">
    <w:name w:val="Intense Emphasis"/>
    <w:basedOn w:val="DefaultParagraphFont"/>
    <w:uiPriority w:val="21"/>
    <w:qFormat/>
    <w:rsid w:val="009A5970"/>
    <w:rPr>
      <w:i/>
      <w:iCs/>
      <w:color w:val="0F4761" w:themeColor="accent1" w:themeShade="BF"/>
    </w:rPr>
  </w:style>
  <w:style w:type="paragraph" w:styleId="IntenseQuote">
    <w:name w:val="Intense Quote"/>
    <w:basedOn w:val="Normal"/>
    <w:next w:val="Normal"/>
    <w:link w:val="IntenseQuoteChar"/>
    <w:uiPriority w:val="30"/>
    <w:qFormat/>
    <w:rsid w:val="009A59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970"/>
    <w:rPr>
      <w:i/>
      <w:iCs/>
      <w:color w:val="0F4761" w:themeColor="accent1" w:themeShade="BF"/>
    </w:rPr>
  </w:style>
  <w:style w:type="character" w:styleId="IntenseReference">
    <w:name w:val="Intense Reference"/>
    <w:basedOn w:val="DefaultParagraphFont"/>
    <w:uiPriority w:val="32"/>
    <w:qFormat/>
    <w:rsid w:val="009A5970"/>
    <w:rPr>
      <w:b/>
      <w:bCs/>
      <w:smallCaps/>
      <w:color w:val="0F4761" w:themeColor="accent1" w:themeShade="BF"/>
      <w:spacing w:val="5"/>
    </w:rPr>
  </w:style>
  <w:style w:type="paragraph" w:styleId="NormalWeb">
    <w:name w:val="Normal (Web)"/>
    <w:basedOn w:val="Normal"/>
    <w:uiPriority w:val="99"/>
    <w:unhideWhenUsed/>
    <w:rsid w:val="009A597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292E06"/>
    <w:rPr>
      <w:b/>
      <w:bCs/>
    </w:rPr>
  </w:style>
  <w:style w:type="character" w:styleId="Hyperlink">
    <w:name w:val="Hyperlink"/>
    <w:basedOn w:val="DefaultParagraphFont"/>
    <w:uiPriority w:val="99"/>
    <w:semiHidden/>
    <w:unhideWhenUsed/>
    <w:rsid w:val="000712C6"/>
    <w:rPr>
      <w:color w:val="0000FF"/>
      <w:u w:val="single"/>
    </w:rPr>
  </w:style>
  <w:style w:type="paragraph" w:styleId="Header">
    <w:name w:val="header"/>
    <w:basedOn w:val="Normal"/>
    <w:link w:val="HeaderChar"/>
    <w:uiPriority w:val="99"/>
    <w:unhideWhenUsed/>
    <w:rsid w:val="000226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26F7"/>
  </w:style>
  <w:style w:type="paragraph" w:styleId="Footer">
    <w:name w:val="footer"/>
    <w:basedOn w:val="Normal"/>
    <w:link w:val="FooterChar"/>
    <w:uiPriority w:val="99"/>
    <w:unhideWhenUsed/>
    <w:rsid w:val="000226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26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1786051">
      <w:bodyDiv w:val="1"/>
      <w:marLeft w:val="0"/>
      <w:marRight w:val="0"/>
      <w:marTop w:val="0"/>
      <w:marBottom w:val="0"/>
      <w:divBdr>
        <w:top w:val="none" w:sz="0" w:space="0" w:color="auto"/>
        <w:left w:val="none" w:sz="0" w:space="0" w:color="auto"/>
        <w:bottom w:val="none" w:sz="0" w:space="0" w:color="auto"/>
        <w:right w:val="none" w:sz="0" w:space="0" w:color="auto"/>
      </w:divBdr>
    </w:div>
    <w:div w:id="832725453">
      <w:bodyDiv w:val="1"/>
      <w:marLeft w:val="0"/>
      <w:marRight w:val="0"/>
      <w:marTop w:val="0"/>
      <w:marBottom w:val="0"/>
      <w:divBdr>
        <w:top w:val="none" w:sz="0" w:space="0" w:color="auto"/>
        <w:left w:val="none" w:sz="0" w:space="0" w:color="auto"/>
        <w:bottom w:val="none" w:sz="0" w:space="0" w:color="auto"/>
        <w:right w:val="none" w:sz="0" w:space="0" w:color="auto"/>
      </w:divBdr>
      <w:divsChild>
        <w:div w:id="404452088">
          <w:marLeft w:val="0"/>
          <w:marRight w:val="0"/>
          <w:marTop w:val="0"/>
          <w:marBottom w:val="0"/>
          <w:divBdr>
            <w:top w:val="none" w:sz="0" w:space="0" w:color="auto"/>
            <w:left w:val="none" w:sz="0" w:space="0" w:color="auto"/>
            <w:bottom w:val="none" w:sz="0" w:space="0" w:color="auto"/>
            <w:right w:val="none" w:sz="0" w:space="0" w:color="auto"/>
          </w:divBdr>
          <w:divsChild>
            <w:div w:id="490098928">
              <w:marLeft w:val="0"/>
              <w:marRight w:val="0"/>
              <w:marTop w:val="0"/>
              <w:marBottom w:val="0"/>
              <w:divBdr>
                <w:top w:val="none" w:sz="0" w:space="0" w:color="auto"/>
                <w:left w:val="none" w:sz="0" w:space="0" w:color="auto"/>
                <w:bottom w:val="none" w:sz="0" w:space="0" w:color="auto"/>
                <w:right w:val="none" w:sz="0" w:space="0" w:color="auto"/>
              </w:divBdr>
              <w:divsChild>
                <w:div w:id="200936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007084">
      <w:bodyDiv w:val="1"/>
      <w:marLeft w:val="0"/>
      <w:marRight w:val="0"/>
      <w:marTop w:val="0"/>
      <w:marBottom w:val="0"/>
      <w:divBdr>
        <w:top w:val="none" w:sz="0" w:space="0" w:color="auto"/>
        <w:left w:val="none" w:sz="0" w:space="0" w:color="auto"/>
        <w:bottom w:val="none" w:sz="0" w:space="0" w:color="auto"/>
        <w:right w:val="none" w:sz="0" w:space="0" w:color="auto"/>
      </w:divBdr>
    </w:div>
    <w:div w:id="191712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gress.gov/bill/99th-congress/house-bill/4718"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jstor.org/stable/24116861"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acdl.org/Content/CFAABackground" TargetMode="External"/><Relationship Id="rId11" Type="http://schemas.openxmlformats.org/officeDocument/2006/relationships/hyperlink" Target="https://www.congress.gov/bill/107th-congress/house-bill/3162" TargetMode="External"/><Relationship Id="rId5" Type="http://schemas.openxmlformats.org/officeDocument/2006/relationships/endnotes" Target="endnotes.xml"/><Relationship Id="rId10" Type="http://schemas.openxmlformats.org/officeDocument/2006/relationships/hyperlink" Target="https://www.congress.gov/bill/110th-congress/house-bill/6060" TargetMode="External"/><Relationship Id="rId4" Type="http://schemas.openxmlformats.org/officeDocument/2006/relationships/footnotes" Target="footnotes.xml"/><Relationship Id="rId9" Type="http://schemas.openxmlformats.org/officeDocument/2006/relationships/hyperlink" Target="https://www.congress.gov/bill/104th-congress/house-bill/37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11</Pages>
  <Words>2552</Words>
  <Characters>14547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Hagen</dc:creator>
  <cp:keywords/>
  <dc:description/>
  <cp:lastModifiedBy>Ali Hagen</cp:lastModifiedBy>
  <cp:revision>1</cp:revision>
  <dcterms:created xsi:type="dcterms:W3CDTF">2024-06-23T19:42:00Z</dcterms:created>
  <dcterms:modified xsi:type="dcterms:W3CDTF">2024-06-23T23:31:00Z</dcterms:modified>
</cp:coreProperties>
</file>